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1DAA9">
      <w:pPr>
        <w:spacing w:before="73" w:line="218" w:lineRule="auto"/>
        <w:ind w:left="5810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36"/>
          <w:szCs w:val="36"/>
        </w:rPr>
        <w:t>二手车辆报价表</w:t>
      </w:r>
      <w:bookmarkEnd w:id="0"/>
    </w:p>
    <w:p w14:paraId="2922608A">
      <w:pPr>
        <w:spacing w:line="328" w:lineRule="auto"/>
        <w:rPr>
          <w:rFonts w:ascii="Arial"/>
          <w:sz w:val="21"/>
        </w:rPr>
      </w:pPr>
    </w:p>
    <w:p w14:paraId="6E217CA8">
      <w:pPr>
        <w:spacing w:line="329" w:lineRule="auto"/>
        <w:rPr>
          <w:rFonts w:ascii="Arial"/>
          <w:sz w:val="21"/>
        </w:rPr>
      </w:pPr>
    </w:p>
    <w:p w14:paraId="072DC937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firstLine="0" w:firstLineChars="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 xml:space="preserve">车牌号码：粤BOM9E8     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厂牌型号：奥德赛牌HG6482BAC5A                  车辆类型：小型普通客车</w:t>
      </w:r>
    </w:p>
    <w:p w14:paraId="294C3E14">
      <w:pPr>
        <w:spacing w:line="22" w:lineRule="exact"/>
      </w:pPr>
    </w:p>
    <w:tbl>
      <w:tblPr>
        <w:tblStyle w:val="4"/>
        <w:tblW w:w="15519" w:type="dxa"/>
        <w:tblInd w:w="-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0"/>
        <w:gridCol w:w="3398"/>
        <w:gridCol w:w="1912"/>
        <w:gridCol w:w="1140"/>
        <w:gridCol w:w="1515"/>
        <w:gridCol w:w="1365"/>
        <w:gridCol w:w="1440"/>
        <w:gridCol w:w="2259"/>
      </w:tblGrid>
      <w:tr w14:paraId="2781B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2490" w:type="dxa"/>
            <w:vAlign w:val="center"/>
          </w:tcPr>
          <w:p w14:paraId="7F9B02F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原车主名称</w:t>
            </w:r>
          </w:p>
        </w:tc>
        <w:tc>
          <w:tcPr>
            <w:tcW w:w="6450" w:type="dxa"/>
            <w:gridSpan w:val="3"/>
            <w:vAlign w:val="center"/>
          </w:tcPr>
          <w:p w14:paraId="537AF09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深圳出版社有限责任公司</w:t>
            </w:r>
          </w:p>
        </w:tc>
        <w:tc>
          <w:tcPr>
            <w:tcW w:w="1515" w:type="dxa"/>
            <w:vAlign w:val="center"/>
          </w:tcPr>
          <w:p w14:paraId="4201CE1A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原车主地址</w:t>
            </w:r>
          </w:p>
        </w:tc>
        <w:tc>
          <w:tcPr>
            <w:tcW w:w="5064" w:type="dxa"/>
            <w:gridSpan w:val="3"/>
            <w:vAlign w:val="center"/>
          </w:tcPr>
          <w:p w14:paraId="4418082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深圳市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福田区海天综合大厦8楼</w:t>
            </w:r>
          </w:p>
        </w:tc>
      </w:tr>
      <w:tr w14:paraId="72C30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2490" w:type="dxa"/>
            <w:vAlign w:val="center"/>
          </w:tcPr>
          <w:p w14:paraId="4F47734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核定载客车</w:t>
            </w:r>
          </w:p>
        </w:tc>
        <w:tc>
          <w:tcPr>
            <w:tcW w:w="3398" w:type="dxa"/>
            <w:vAlign w:val="center"/>
          </w:tcPr>
          <w:p w14:paraId="1EDD7A5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7座</w:t>
            </w:r>
          </w:p>
        </w:tc>
        <w:tc>
          <w:tcPr>
            <w:tcW w:w="1912" w:type="dxa"/>
            <w:vAlign w:val="center"/>
          </w:tcPr>
          <w:p w14:paraId="4C39DF0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核定载质量</w:t>
            </w:r>
          </w:p>
        </w:tc>
        <w:tc>
          <w:tcPr>
            <w:tcW w:w="1140" w:type="dxa"/>
            <w:vAlign w:val="center"/>
          </w:tcPr>
          <w:p w14:paraId="488C182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12"/>
                <w:sz w:val="28"/>
                <w:szCs w:val="28"/>
              </w:rPr>
              <w:t>千克</w:t>
            </w:r>
          </w:p>
        </w:tc>
        <w:tc>
          <w:tcPr>
            <w:tcW w:w="1515" w:type="dxa"/>
            <w:vAlign w:val="center"/>
          </w:tcPr>
          <w:p w14:paraId="25CCC37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底盘号</w:t>
            </w:r>
          </w:p>
        </w:tc>
        <w:tc>
          <w:tcPr>
            <w:tcW w:w="1365" w:type="dxa"/>
            <w:vAlign w:val="center"/>
          </w:tcPr>
          <w:p w14:paraId="310B9B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7EF6EA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发动机号</w:t>
            </w:r>
          </w:p>
        </w:tc>
        <w:tc>
          <w:tcPr>
            <w:tcW w:w="2259" w:type="dxa"/>
            <w:vAlign w:val="center"/>
          </w:tcPr>
          <w:p w14:paraId="76B1DE5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1043343</w:t>
            </w:r>
          </w:p>
        </w:tc>
      </w:tr>
      <w:tr w14:paraId="1B18D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2490" w:type="dxa"/>
            <w:vAlign w:val="center"/>
          </w:tcPr>
          <w:p w14:paraId="6C5F1584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行驶证登记日期</w:t>
            </w:r>
          </w:p>
        </w:tc>
        <w:tc>
          <w:tcPr>
            <w:tcW w:w="3398" w:type="dxa"/>
            <w:vAlign w:val="center"/>
          </w:tcPr>
          <w:p w14:paraId="3C7C3F6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2015年5月29日</w:t>
            </w:r>
          </w:p>
        </w:tc>
        <w:tc>
          <w:tcPr>
            <w:tcW w:w="1912" w:type="dxa"/>
            <w:vAlign w:val="center"/>
          </w:tcPr>
          <w:p w14:paraId="79D3862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规定使用年限</w:t>
            </w:r>
          </w:p>
        </w:tc>
        <w:tc>
          <w:tcPr>
            <w:tcW w:w="1140" w:type="dxa"/>
            <w:vAlign w:val="center"/>
          </w:tcPr>
          <w:p w14:paraId="5FD33D5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</w:p>
        </w:tc>
        <w:tc>
          <w:tcPr>
            <w:tcW w:w="1515" w:type="dxa"/>
            <w:vAlign w:val="center"/>
          </w:tcPr>
          <w:p w14:paraId="454DB37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使用年限</w:t>
            </w:r>
          </w:p>
        </w:tc>
        <w:tc>
          <w:tcPr>
            <w:tcW w:w="1365" w:type="dxa"/>
            <w:vAlign w:val="center"/>
          </w:tcPr>
          <w:p w14:paraId="71BAB2A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</w:p>
        </w:tc>
        <w:tc>
          <w:tcPr>
            <w:tcW w:w="1440" w:type="dxa"/>
            <w:vAlign w:val="center"/>
          </w:tcPr>
          <w:p w14:paraId="5A5631E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评估基准日</w:t>
            </w:r>
          </w:p>
        </w:tc>
        <w:tc>
          <w:tcPr>
            <w:tcW w:w="2259" w:type="dxa"/>
            <w:vAlign w:val="center"/>
          </w:tcPr>
          <w:p w14:paraId="6254193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C21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2490" w:type="dxa"/>
            <w:vAlign w:val="center"/>
          </w:tcPr>
          <w:p w14:paraId="6FD0092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车辆状况</w:t>
            </w:r>
          </w:p>
        </w:tc>
        <w:tc>
          <w:tcPr>
            <w:tcW w:w="13029" w:type="dxa"/>
            <w:gridSpan w:val="7"/>
            <w:vAlign w:val="center"/>
          </w:tcPr>
          <w:p w14:paraId="22ECE45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ind w:lef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4E6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8" w:hRule="atLeast"/>
        </w:trPr>
        <w:tc>
          <w:tcPr>
            <w:tcW w:w="7800" w:type="dxa"/>
            <w:gridSpan w:val="3"/>
            <w:vAlign w:val="top"/>
          </w:tcPr>
          <w:p w14:paraId="7213A7D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firstLine="556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评估结论：</w:t>
            </w:r>
          </w:p>
          <w:p w14:paraId="2C40181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firstLine="536" w:firstLineChars="2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根据《中华人民共和国价格法》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等文件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精神，结合对车龄、车况现场勘察和市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场价格调查，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评估该车现值为：</w:t>
            </w:r>
          </w:p>
          <w:p w14:paraId="37193AA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人 民 币 (</w:t>
            </w:r>
            <w:r>
              <w:rPr>
                <w:rFonts w:hint="eastAsia" w:ascii="仿宋_GB2312" w:hAnsi="仿宋_GB2312" w:eastAsia="仿宋_GB2312" w:cs="仿宋_GB2312"/>
                <w:spacing w:val="-28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大 写</w:t>
            </w:r>
            <w:r>
              <w:rPr>
                <w:rFonts w:hint="eastAsia" w:ascii="仿宋_GB2312" w:hAnsi="仿宋_GB2312" w:eastAsia="仿宋_GB2312" w:cs="仿宋_GB2312"/>
                <w:spacing w:val="-3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)</w:t>
            </w:r>
          </w:p>
          <w:p w14:paraId="68E21FA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ind w:left="0" w:firstLine="1250" w:firstLineChars="5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(</w:t>
            </w:r>
            <w:r>
              <w:rPr>
                <w:rFonts w:hint="eastAsia" w:ascii="仿宋_GB2312" w:hAnsi="仿宋_GB2312" w:eastAsia="仿宋_GB2312" w:cs="仿宋_GB2312"/>
                <w:spacing w:val="-39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小</w:t>
            </w:r>
            <w:r>
              <w:rPr>
                <w:rFonts w:hint="eastAsia" w:ascii="仿宋_GB2312" w:hAnsi="仿宋_GB2312" w:eastAsia="仿宋_GB2312" w:cs="仿宋_GB2312"/>
                <w:spacing w:val="-39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写</w:t>
            </w:r>
            <w:r>
              <w:rPr>
                <w:rFonts w:hint="eastAsia" w:ascii="仿宋_GB2312" w:hAnsi="仿宋_GB2312" w:eastAsia="仿宋_GB2312" w:cs="仿宋_GB2312"/>
                <w:spacing w:val="-4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pacing w:val="-43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-4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8"/>
                <w:szCs w:val="28"/>
              </w:rPr>
              <w:t>整</w:t>
            </w:r>
          </w:p>
        </w:tc>
        <w:tc>
          <w:tcPr>
            <w:tcW w:w="4020" w:type="dxa"/>
            <w:gridSpan w:val="3"/>
            <w:tcBorders>
              <w:right w:val="nil"/>
            </w:tcBorders>
            <w:vAlign w:val="top"/>
          </w:tcPr>
          <w:p w14:paraId="6EC62BF0">
            <w:pPr>
              <w:spacing w:line="261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2B10D33">
            <w:pPr>
              <w:spacing w:line="262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F8E43C0">
            <w:pPr>
              <w:spacing w:line="262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5F928CB">
            <w:pPr>
              <w:pStyle w:val="5"/>
              <w:spacing w:before="72" w:line="218" w:lineRule="auto"/>
              <w:ind w:left="45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评</w:t>
            </w:r>
            <w:r>
              <w:rPr>
                <w:rFonts w:hint="eastAsia" w:ascii="仿宋_GB2312" w:hAnsi="仿宋_GB2312" w:eastAsia="仿宋_GB2312" w:cs="仿宋_GB2312"/>
                <w:spacing w:val="-28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估</w:t>
            </w:r>
            <w:r>
              <w:rPr>
                <w:rFonts w:hint="eastAsia" w:ascii="仿宋_GB2312" w:hAnsi="仿宋_GB2312" w:eastAsia="仿宋_GB2312" w:cs="仿宋_GB2312"/>
                <w:spacing w:val="-25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师 (</w:t>
            </w:r>
            <w:r>
              <w:rPr>
                <w:rFonts w:hint="eastAsia" w:ascii="仿宋_GB2312" w:hAnsi="仿宋_GB2312" w:eastAsia="仿宋_GB2312" w:cs="仿宋_GB2312"/>
                <w:spacing w:val="-29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签</w:t>
            </w:r>
            <w:r>
              <w:rPr>
                <w:rFonts w:hint="eastAsia" w:ascii="仿宋_GB2312" w:hAnsi="仿宋_GB2312" w:eastAsia="仿宋_GB2312" w:cs="仿宋_GB2312"/>
                <w:spacing w:val="-26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名</w:t>
            </w:r>
            <w:r>
              <w:rPr>
                <w:rFonts w:hint="eastAsia" w:ascii="仿宋_GB2312" w:hAnsi="仿宋_GB2312" w:eastAsia="仿宋_GB2312" w:cs="仿宋_GB2312"/>
                <w:spacing w:val="-28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)</w:t>
            </w: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8"/>
                <w:szCs w:val="28"/>
              </w:rPr>
              <w:t>:</w:t>
            </w:r>
            <w:r>
              <w:rPr>
                <w:rFonts w:hint="eastAsia" w:ascii="仿宋_GB2312" w:hAnsi="仿宋_GB2312" w:eastAsia="仿宋_GB2312" w:cs="仿宋_GB2312"/>
                <w:spacing w:val="-26"/>
                <w:sz w:val="28"/>
                <w:szCs w:val="28"/>
              </w:rPr>
              <w:t xml:space="preserve"> </w:t>
            </w:r>
          </w:p>
        </w:tc>
        <w:tc>
          <w:tcPr>
            <w:tcW w:w="3699" w:type="dxa"/>
            <w:gridSpan w:val="2"/>
            <w:tcBorders>
              <w:left w:val="nil"/>
            </w:tcBorders>
            <w:vAlign w:val="top"/>
          </w:tcPr>
          <w:p w14:paraId="596D7E1C">
            <w:pPr>
              <w:spacing w:line="382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4D3FC8D">
            <w:pPr>
              <w:spacing w:line="2330" w:lineRule="exact"/>
              <w:ind w:firstLine="9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61F875E">
            <w:pPr>
              <w:pStyle w:val="5"/>
              <w:spacing w:before="49" w:line="219" w:lineRule="auto"/>
              <w:ind w:left="405" w:firstLine="572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日</w:t>
            </w:r>
          </w:p>
        </w:tc>
      </w:tr>
      <w:tr w14:paraId="54B55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atLeast"/>
        </w:trPr>
        <w:tc>
          <w:tcPr>
            <w:tcW w:w="15519" w:type="dxa"/>
            <w:gridSpan w:val="8"/>
            <w:vAlign w:val="top"/>
          </w:tcPr>
          <w:p w14:paraId="4568B112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重要事项：1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本次处置车辆为非营运车辆，不含车牌号；公里数以车辆实际里程为准。2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本次处置车辆移交日之前有违章记录且未处理的，均由出让方承担责任及费用。车辆过户费及税费等一切费用均由竞得人承担。3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本次处置车辆成交后，成交价款不含商业保险。4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本次处置的车辆移交后所发生的一切事宜由竞得人承担。请各竞价人务必在出价前核对标的名称，以免出错。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zh-CN" w:bidi="ar-SA"/>
              </w:rPr>
              <w:t>报价表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6"/>
                <w:kern w:val="0"/>
                <w:sz w:val="24"/>
                <w:szCs w:val="24"/>
                <w:lang w:val="en-US" w:eastAsia="en-US" w:bidi="ar-SA"/>
              </w:rPr>
              <w:t>数据仅作参考，以车辆实况及登记证书、行驶证等证件为准。</w:t>
            </w:r>
          </w:p>
          <w:p w14:paraId="44F74404">
            <w:pPr>
              <w:pStyle w:val="5"/>
              <w:spacing w:before="49" w:line="219" w:lineRule="auto"/>
              <w:ind w:left="405" w:firstLine="572" w:firstLineChars="200"/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</w:pPr>
          </w:p>
        </w:tc>
      </w:tr>
    </w:tbl>
    <w:p w14:paraId="6ABD9465">
      <w:pPr>
        <w:rPr>
          <w:rFonts w:ascii="Arial"/>
          <w:sz w:val="21"/>
        </w:rPr>
      </w:pPr>
    </w:p>
    <w:sectPr>
      <w:pgSz w:w="16830" w:h="11900"/>
      <w:pgMar w:top="993" w:right="1294" w:bottom="0" w:left="12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D70E7C"/>
    <w:rsid w:val="2B1A0194"/>
    <w:rsid w:val="36B9670B"/>
    <w:rsid w:val="41933CA1"/>
    <w:rsid w:val="5CF433C7"/>
    <w:rsid w:val="5EF84F7E"/>
    <w:rsid w:val="611962CD"/>
    <w:rsid w:val="752F6E23"/>
    <w:rsid w:val="76197397"/>
    <w:rsid w:val="79A366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402</Words>
  <Characters>433</Characters>
  <TotalTime>3</TotalTime>
  <ScaleCrop>false</ScaleCrop>
  <LinksUpToDate>false</LinksUpToDate>
  <CharactersWithSpaces>495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2026-04-09T16:03:00Z</dcterms:created>
  <dc:creator>HT</dc:creator>
  <cp:lastModifiedBy>土豆霓</cp:lastModifiedBy>
  <cp:lastPrinted>2026-04-09T08:30:00Z</cp:lastPrinted>
  <dcterms:modified xsi:type="dcterms:W3CDTF">2026-10-27T07:18:16Z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2026-04-09T16:03:56Z</vt:filetime>
  </property>
  <property fmtid="{D5CDD505-2E9C-101B-9397-08002B2CF9AE}" pid="4" name="UsrData">
    <vt:lpwstr>69d75d6a631491002091b375wl</vt:lpwstr>
  </property>
  <property fmtid="{D5CDD505-2E9C-101B-9397-08002B2CF9AE}" pid="5" name="KSOTemplateDocerSaveRecord">
    <vt:lpwstr>eyJoZGlkIjoiNGU0YjcyZGQyYjE5MjUzYzlmNTM5YmJhMjRlOTY3OGUiLCJ1c2VySWQiOiIxMTY4OTgyMzUyIn0=</vt:lpwstr>
  </property>
  <property fmtid="{D5CDD505-2E9C-101B-9397-08002B2CF9AE}" pid="6" name="KSOProductBuildVer">
    <vt:lpwstr>2052-12.1.0.29161</vt:lpwstr>
  </property>
  <property fmtid="{D5CDD505-2E9C-101B-9397-08002B2CF9AE}" pid="7" name="ICV">
    <vt:lpwstr>FEA865E7C97943F8940DCB4C6BE9FFAC_13</vt:lpwstr>
  </property>
</Properties>
</file>