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79608">
      <w:pPr>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附件：</w:t>
      </w:r>
    </w:p>
    <w:p w14:paraId="54C386B3">
      <w:pPr>
        <w:ind w:firstLine="480"/>
        <w:rPr>
          <w:rFonts w:hint="eastAsia"/>
        </w:rPr>
      </w:pPr>
    </w:p>
    <w:p w14:paraId="6C135A0A">
      <w:pPr>
        <w:ind w:firstLine="480"/>
        <w:rPr>
          <w:rFonts w:hint="eastAsia"/>
        </w:rPr>
      </w:pPr>
    </w:p>
    <w:p w14:paraId="3D7229BE">
      <w:pPr>
        <w:ind w:firstLine="480"/>
        <w:rPr>
          <w:rFonts w:hint="eastAsia"/>
        </w:rPr>
      </w:pPr>
    </w:p>
    <w:p w14:paraId="5FB83E74">
      <w:pPr>
        <w:ind w:firstLine="0" w:firstLineChars="0"/>
        <w:jc w:val="center"/>
        <w:rPr>
          <w:rFonts w:hint="eastAsia" w:ascii="仿宋_GB2312" w:eastAsia="仿宋_GB2312"/>
          <w:b/>
          <w:bCs/>
          <w:sz w:val="52"/>
          <w:szCs w:val="48"/>
        </w:rPr>
      </w:pPr>
    </w:p>
    <w:p w14:paraId="3A40DF94">
      <w:pPr>
        <w:ind w:firstLine="0" w:firstLineChars="0"/>
        <w:jc w:val="center"/>
        <w:rPr>
          <w:rFonts w:hint="eastAsia" w:ascii="仿宋_GB2312" w:eastAsia="仿宋_GB2312"/>
          <w:b/>
          <w:bCs/>
          <w:sz w:val="52"/>
          <w:szCs w:val="48"/>
        </w:rPr>
      </w:pPr>
      <w:r>
        <w:rPr>
          <w:rFonts w:hint="eastAsia" w:ascii="仿宋_GB2312" w:eastAsia="仿宋_GB2312"/>
          <w:b/>
          <w:bCs/>
          <w:sz w:val="52"/>
          <w:szCs w:val="48"/>
        </w:rPr>
        <w:t>深圳书城龙华城2026年9月10日-202</w:t>
      </w:r>
      <w:r>
        <w:rPr>
          <w:rFonts w:hint="eastAsia" w:ascii="仿宋_GB2312" w:eastAsia="仿宋_GB2312"/>
          <w:b/>
          <w:bCs/>
          <w:sz w:val="52"/>
          <w:szCs w:val="48"/>
          <w:lang w:val="en-US" w:eastAsia="zh-CN"/>
        </w:rPr>
        <w:t>8</w:t>
      </w:r>
      <w:r>
        <w:rPr>
          <w:rFonts w:hint="eastAsia" w:ascii="仿宋_GB2312" w:eastAsia="仿宋_GB2312"/>
          <w:b/>
          <w:bCs/>
          <w:sz w:val="52"/>
          <w:szCs w:val="48"/>
        </w:rPr>
        <w:t>年9月9日智能车库维保项目采购文件</w:t>
      </w:r>
    </w:p>
    <w:p w14:paraId="65CDF8C5">
      <w:pPr>
        <w:ind w:firstLine="480"/>
        <w:rPr>
          <w:rFonts w:hint="eastAsia"/>
        </w:rPr>
      </w:pPr>
    </w:p>
    <w:p w14:paraId="29CD8CC3">
      <w:pPr>
        <w:ind w:firstLine="480"/>
        <w:rPr>
          <w:rFonts w:hint="eastAsia"/>
        </w:rPr>
      </w:pPr>
    </w:p>
    <w:p w14:paraId="4D9DDD98">
      <w:pPr>
        <w:ind w:firstLine="480"/>
        <w:rPr>
          <w:rFonts w:hint="eastAsia"/>
        </w:rPr>
      </w:pPr>
    </w:p>
    <w:p w14:paraId="3C4AF85F">
      <w:pPr>
        <w:ind w:firstLine="480"/>
        <w:rPr>
          <w:rFonts w:hint="eastAsia"/>
        </w:rPr>
      </w:pPr>
    </w:p>
    <w:p w14:paraId="23271A6C">
      <w:pPr>
        <w:ind w:firstLine="480"/>
        <w:rPr>
          <w:rFonts w:hint="eastAsia"/>
        </w:rPr>
      </w:pPr>
    </w:p>
    <w:p w14:paraId="2E2D66C5">
      <w:pPr>
        <w:ind w:firstLine="480"/>
        <w:rPr>
          <w:rFonts w:hint="eastAsia"/>
        </w:rPr>
      </w:pPr>
    </w:p>
    <w:p w14:paraId="1ECC5CA0">
      <w:pPr>
        <w:ind w:firstLine="480"/>
        <w:rPr>
          <w:rFonts w:hint="eastAsia"/>
        </w:rPr>
      </w:pPr>
    </w:p>
    <w:p w14:paraId="210A1D6D">
      <w:pPr>
        <w:ind w:firstLine="480"/>
        <w:rPr>
          <w:rFonts w:hint="eastAsia"/>
        </w:rPr>
      </w:pPr>
    </w:p>
    <w:p w14:paraId="1C179406">
      <w:pPr>
        <w:ind w:firstLine="480"/>
        <w:rPr>
          <w:rFonts w:hint="eastAsia"/>
        </w:rPr>
      </w:pPr>
    </w:p>
    <w:p w14:paraId="4F967136">
      <w:pPr>
        <w:ind w:firstLine="480"/>
        <w:rPr>
          <w:rFonts w:hint="eastAsia"/>
        </w:rPr>
      </w:pPr>
    </w:p>
    <w:p w14:paraId="598205F3">
      <w:pPr>
        <w:ind w:firstLine="480"/>
        <w:rPr>
          <w:rFonts w:hint="eastAsia"/>
        </w:rPr>
      </w:pPr>
    </w:p>
    <w:p w14:paraId="6C2B133E">
      <w:pPr>
        <w:ind w:firstLine="480"/>
        <w:rPr>
          <w:rFonts w:hint="eastAsia"/>
        </w:rPr>
      </w:pPr>
    </w:p>
    <w:p w14:paraId="4B8E14CE">
      <w:pPr>
        <w:ind w:firstLine="480"/>
        <w:rPr>
          <w:rFonts w:hint="eastAsia"/>
        </w:rPr>
      </w:pPr>
    </w:p>
    <w:p w14:paraId="24C0F03D">
      <w:pPr>
        <w:ind w:firstLine="0" w:firstLineChars="0"/>
        <w:jc w:val="center"/>
        <w:rPr>
          <w:rFonts w:hint="eastAsia" w:ascii="仿宋_GB2312" w:eastAsia="仿宋_GB2312"/>
          <w:b/>
          <w:bCs/>
          <w:sz w:val="36"/>
          <w:szCs w:val="32"/>
        </w:rPr>
      </w:pPr>
    </w:p>
    <w:p w14:paraId="18CD1FFE">
      <w:pPr>
        <w:ind w:firstLine="0" w:firstLineChars="0"/>
        <w:jc w:val="center"/>
        <w:rPr>
          <w:rFonts w:hint="eastAsia" w:ascii="仿宋_GB2312" w:eastAsia="仿宋_GB2312" w:cs="Times New Roman"/>
          <w:b/>
          <w:bCs/>
          <w:sz w:val="36"/>
          <w:szCs w:val="36"/>
        </w:rPr>
      </w:pPr>
      <w:r>
        <w:rPr>
          <w:rFonts w:hint="eastAsia" w:ascii="仿宋_GB2312" w:eastAsia="仿宋_GB2312"/>
          <w:b/>
          <w:bCs/>
          <w:sz w:val="36"/>
          <w:szCs w:val="32"/>
        </w:rPr>
        <w:t>深圳书城龙华城实业有限公司</w:t>
      </w:r>
    </w:p>
    <w:p w14:paraId="1050FFDC">
      <w:pPr>
        <w:ind w:firstLine="480"/>
        <w:rPr>
          <w:rFonts w:hint="eastAsia"/>
        </w:rPr>
      </w:pPr>
    </w:p>
    <w:p w14:paraId="0E745153">
      <w:pPr>
        <w:ind w:firstLine="480"/>
        <w:rPr>
          <w:rFonts w:hint="eastAsia"/>
        </w:rPr>
      </w:pPr>
    </w:p>
    <w:p w14:paraId="1F608BAF">
      <w:pPr>
        <w:ind w:firstLine="480"/>
        <w:jc w:val="center"/>
        <w:rPr>
          <w:rFonts w:hint="eastAsia"/>
        </w:rPr>
      </w:pPr>
      <w:r>
        <w:rPr>
          <w:rFonts w:hint="eastAsia"/>
        </w:rPr>
        <w:t>目录</w:t>
      </w:r>
    </w:p>
    <w:p w14:paraId="55DB8AB2">
      <w:pPr>
        <w:pStyle w:val="10"/>
        <w:ind w:firstLine="440"/>
        <w:rPr>
          <w:rFonts w:hint="eastAsia"/>
        </w:rPr>
      </w:pPr>
    </w:p>
    <w:p w14:paraId="6264AB80">
      <w:pPr>
        <w:pStyle w:val="10"/>
        <w:tabs>
          <w:tab w:val="right" w:leader="dot" w:pos="8296"/>
        </w:tabs>
        <w:ind w:firstLine="440"/>
        <w:rPr>
          <w:rFonts w:hint="eastAsia" w:cstheme="minorBidi"/>
          <w:kern w:val="2"/>
          <w:sz w:val="21"/>
          <w14:ligatures w14:val="standardContextual"/>
        </w:rPr>
      </w:pPr>
      <w:r>
        <w:fldChar w:fldCharType="begin"/>
      </w:r>
      <w:r>
        <w:instrText xml:space="preserve"> TOC \o "1-1" \h \z \u </w:instrText>
      </w:r>
      <w:r>
        <w:fldChar w:fldCharType="separate"/>
      </w:r>
      <w:r>
        <w:fldChar w:fldCharType="begin"/>
      </w:r>
      <w:r>
        <w:instrText xml:space="preserve"> HYPERLINK \l "_Toc161591782" </w:instrText>
      </w:r>
      <w:r>
        <w:fldChar w:fldCharType="separate"/>
      </w:r>
      <w:r>
        <w:rPr>
          <w:rStyle w:val="17"/>
        </w:rPr>
        <w:t>第一章 询价采购公告</w:t>
      </w:r>
      <w:r>
        <w:tab/>
      </w:r>
      <w:r>
        <w:fldChar w:fldCharType="begin"/>
      </w:r>
      <w:r>
        <w:instrText xml:space="preserve"> PAGEREF _Toc161591782 \h </w:instrText>
      </w:r>
      <w:r>
        <w:fldChar w:fldCharType="separate"/>
      </w:r>
      <w:r>
        <w:t>3</w:t>
      </w:r>
      <w:r>
        <w:fldChar w:fldCharType="end"/>
      </w:r>
      <w:r>
        <w:fldChar w:fldCharType="end"/>
      </w:r>
    </w:p>
    <w:p w14:paraId="4B14295D">
      <w:pPr>
        <w:pStyle w:val="10"/>
        <w:tabs>
          <w:tab w:val="right" w:leader="dot" w:pos="8296"/>
        </w:tabs>
        <w:ind w:firstLine="440"/>
        <w:rPr>
          <w:rFonts w:hint="eastAsia" w:cstheme="minorBidi"/>
          <w:kern w:val="2"/>
          <w:sz w:val="21"/>
          <w14:ligatures w14:val="standardContextual"/>
        </w:rPr>
      </w:pPr>
      <w:r>
        <w:fldChar w:fldCharType="begin"/>
      </w:r>
      <w:r>
        <w:instrText xml:space="preserve"> HYPERLINK \l "_Toc161591783" </w:instrText>
      </w:r>
      <w:r>
        <w:fldChar w:fldCharType="separate"/>
      </w:r>
      <w:r>
        <w:rPr>
          <w:rStyle w:val="17"/>
        </w:rPr>
        <w:t>第二章 采购需求</w:t>
      </w:r>
      <w:r>
        <w:tab/>
      </w:r>
      <w:r>
        <w:fldChar w:fldCharType="begin"/>
      </w:r>
      <w:r>
        <w:instrText xml:space="preserve"> PAGEREF _Toc161591783 \h </w:instrText>
      </w:r>
      <w:r>
        <w:fldChar w:fldCharType="separate"/>
      </w:r>
      <w:r>
        <w:t>5</w:t>
      </w:r>
      <w:r>
        <w:fldChar w:fldCharType="end"/>
      </w:r>
      <w:r>
        <w:fldChar w:fldCharType="end"/>
      </w:r>
    </w:p>
    <w:p w14:paraId="5F83A2C9">
      <w:pPr>
        <w:pStyle w:val="10"/>
        <w:tabs>
          <w:tab w:val="right" w:leader="dot" w:pos="8296"/>
        </w:tabs>
        <w:ind w:firstLine="440"/>
        <w:rPr>
          <w:rFonts w:hint="eastAsia" w:cstheme="minorBidi"/>
          <w:kern w:val="2"/>
          <w:sz w:val="21"/>
          <w14:ligatures w14:val="standardContextual"/>
        </w:rPr>
      </w:pPr>
      <w:r>
        <w:fldChar w:fldCharType="begin"/>
      </w:r>
      <w:r>
        <w:instrText xml:space="preserve"> HYPERLINK \l "_Toc161591784" </w:instrText>
      </w:r>
      <w:r>
        <w:fldChar w:fldCharType="separate"/>
      </w:r>
      <w:r>
        <w:rPr>
          <w:rStyle w:val="17"/>
        </w:rPr>
        <w:t>第三章 响应单位须知</w:t>
      </w:r>
      <w:r>
        <w:tab/>
      </w:r>
      <w:r>
        <w:fldChar w:fldCharType="begin"/>
      </w:r>
      <w:r>
        <w:instrText xml:space="preserve"> PAGEREF _Toc161591784 \h </w:instrText>
      </w:r>
      <w:r>
        <w:fldChar w:fldCharType="separate"/>
      </w:r>
      <w:r>
        <w:t>7</w:t>
      </w:r>
      <w:r>
        <w:fldChar w:fldCharType="end"/>
      </w:r>
      <w:r>
        <w:fldChar w:fldCharType="end"/>
      </w:r>
    </w:p>
    <w:p w14:paraId="5808D63B">
      <w:pPr>
        <w:pStyle w:val="10"/>
        <w:tabs>
          <w:tab w:val="right" w:leader="dot" w:pos="8296"/>
        </w:tabs>
        <w:ind w:firstLine="440"/>
        <w:rPr>
          <w:rFonts w:hint="eastAsia" w:cstheme="minorBidi"/>
          <w:kern w:val="2"/>
          <w:sz w:val="21"/>
          <w14:ligatures w14:val="standardContextual"/>
        </w:rPr>
      </w:pPr>
      <w:r>
        <w:fldChar w:fldCharType="begin"/>
      </w:r>
      <w:r>
        <w:instrText xml:space="preserve"> HYPERLINK \l "_Toc161591785" </w:instrText>
      </w:r>
      <w:r>
        <w:fldChar w:fldCharType="separate"/>
      </w:r>
      <w:r>
        <w:rPr>
          <w:rStyle w:val="17"/>
        </w:rPr>
        <w:t>第四章 合同签订及其他</w:t>
      </w:r>
      <w:r>
        <w:tab/>
      </w:r>
      <w:r>
        <w:fldChar w:fldCharType="begin"/>
      </w:r>
      <w:r>
        <w:instrText xml:space="preserve"> PAGEREF _Toc161591785 \h </w:instrText>
      </w:r>
      <w:r>
        <w:fldChar w:fldCharType="separate"/>
      </w:r>
      <w:r>
        <w:t>14</w:t>
      </w:r>
      <w:r>
        <w:fldChar w:fldCharType="end"/>
      </w:r>
      <w:r>
        <w:fldChar w:fldCharType="end"/>
      </w:r>
    </w:p>
    <w:p w14:paraId="660F6DC6">
      <w:pPr>
        <w:pStyle w:val="10"/>
        <w:tabs>
          <w:tab w:val="right" w:leader="dot" w:pos="8296"/>
        </w:tabs>
        <w:ind w:firstLine="440"/>
        <w:rPr>
          <w:rFonts w:hint="eastAsia" w:cstheme="minorBidi"/>
          <w:kern w:val="2"/>
          <w:sz w:val="21"/>
          <w14:ligatures w14:val="standardContextual"/>
        </w:rPr>
      </w:pPr>
      <w:r>
        <w:fldChar w:fldCharType="begin"/>
      </w:r>
      <w:r>
        <w:instrText xml:space="preserve"> HYPERLINK \l "_Toc161591786" </w:instrText>
      </w:r>
      <w:r>
        <w:fldChar w:fldCharType="separate"/>
      </w:r>
      <w:r>
        <w:rPr>
          <w:rStyle w:val="17"/>
        </w:rPr>
        <w:t>第五章 附件</w:t>
      </w:r>
      <w:r>
        <w:tab/>
      </w:r>
      <w:r>
        <w:fldChar w:fldCharType="begin"/>
      </w:r>
      <w:r>
        <w:instrText xml:space="preserve"> PAGEREF _Toc161591786 \h </w:instrText>
      </w:r>
      <w:r>
        <w:fldChar w:fldCharType="separate"/>
      </w:r>
      <w:r>
        <w:t>22</w:t>
      </w:r>
      <w:r>
        <w:fldChar w:fldCharType="end"/>
      </w:r>
      <w:r>
        <w:fldChar w:fldCharType="end"/>
      </w:r>
    </w:p>
    <w:p w14:paraId="22D35306">
      <w:pPr>
        <w:ind w:firstLine="480"/>
        <w:rPr>
          <w:rFonts w:hint="eastAsia"/>
        </w:rPr>
      </w:pPr>
      <w:r>
        <w:fldChar w:fldCharType="end"/>
      </w:r>
    </w:p>
    <w:p w14:paraId="2024D3FD">
      <w:pPr>
        <w:ind w:firstLine="480"/>
        <w:rPr>
          <w:rFonts w:hint="eastAsia"/>
        </w:rPr>
      </w:pPr>
      <w:r>
        <w:br w:type="page"/>
      </w:r>
    </w:p>
    <w:p w14:paraId="3FE55D56">
      <w:pPr>
        <w:pStyle w:val="2"/>
        <w:ind w:firstLine="720"/>
        <w:rPr>
          <w:rFonts w:hint="eastAsia"/>
        </w:rPr>
      </w:pPr>
      <w:bookmarkStart w:id="0" w:name="_Toc161591782"/>
      <w:r>
        <w:rPr>
          <w:rFonts w:hint="eastAsia"/>
        </w:rPr>
        <w:t>第一章 询价采购公告</w:t>
      </w:r>
      <w:bookmarkEnd w:id="0"/>
    </w:p>
    <w:p w14:paraId="5D3A9092">
      <w:pPr>
        <w:ind w:firstLine="0" w:firstLineChars="0"/>
        <w:rPr>
          <w:rFonts w:hint="eastAsia" w:ascii="仿宋_GB2312" w:eastAsia="仿宋_GB2312"/>
          <w:sz w:val="28"/>
          <w:szCs w:val="28"/>
        </w:rPr>
      </w:pPr>
      <w:bookmarkStart w:id="20" w:name="_GoBack"/>
      <w:r>
        <w:rPr>
          <w:rFonts w:hint="eastAsia" w:ascii="仿宋_GB2312" w:eastAsia="仿宋_GB2312"/>
          <w:sz w:val="28"/>
          <w:szCs w:val="28"/>
        </w:rPr>
        <w:t>各响应单位：</w:t>
      </w:r>
    </w:p>
    <w:p w14:paraId="2AC91332">
      <w:pPr>
        <w:rPr>
          <w:rFonts w:hint="eastAsia" w:ascii="仿宋_GB2312" w:eastAsia="仿宋_GB2312"/>
          <w:sz w:val="28"/>
          <w:szCs w:val="28"/>
        </w:rPr>
      </w:pPr>
      <w:r>
        <w:rPr>
          <w:rFonts w:hint="eastAsia" w:ascii="仿宋_GB2312" w:eastAsia="仿宋_GB2312"/>
          <w:sz w:val="28"/>
          <w:szCs w:val="28"/>
        </w:rPr>
        <w:t>本项目名称为：</w:t>
      </w:r>
      <w:r>
        <w:rPr>
          <w:rFonts w:hint="eastAsia" w:ascii="仿宋_GB2312" w:eastAsia="仿宋_GB2312"/>
          <w:sz w:val="28"/>
          <w:szCs w:val="28"/>
          <w:u w:val="single"/>
        </w:rPr>
        <w:t>深圳书城龙华城2026年9月10日-202</w:t>
      </w:r>
      <w:r>
        <w:rPr>
          <w:rFonts w:hint="eastAsia" w:ascii="仿宋_GB2312" w:eastAsia="仿宋_GB2312"/>
          <w:sz w:val="28"/>
          <w:szCs w:val="28"/>
          <w:u w:val="single"/>
          <w:lang w:val="en-US" w:eastAsia="zh-CN"/>
        </w:rPr>
        <w:t>8</w:t>
      </w:r>
      <w:r>
        <w:rPr>
          <w:rFonts w:hint="eastAsia" w:ascii="仿宋_GB2312" w:eastAsia="仿宋_GB2312"/>
          <w:sz w:val="28"/>
          <w:szCs w:val="28"/>
          <w:u w:val="single"/>
        </w:rPr>
        <w:t>年9月9日智能车库维保项目</w:t>
      </w:r>
      <w:r>
        <w:rPr>
          <w:rFonts w:hint="eastAsia" w:ascii="仿宋_GB2312" w:eastAsia="仿宋_GB2312"/>
          <w:sz w:val="28"/>
          <w:szCs w:val="28"/>
        </w:rPr>
        <w:t>，采购方为：</w:t>
      </w:r>
      <w:r>
        <w:rPr>
          <w:rFonts w:hint="eastAsia" w:ascii="仿宋_GB2312" w:eastAsia="仿宋_GB2312"/>
          <w:sz w:val="28"/>
          <w:szCs w:val="28"/>
          <w:u w:val="single"/>
        </w:rPr>
        <w:t>深圳书城龙华城实业有限公司</w:t>
      </w:r>
      <w:r>
        <w:rPr>
          <w:rFonts w:hint="eastAsia" w:ascii="仿宋_GB2312" w:eastAsia="仿宋_GB2312"/>
          <w:sz w:val="28"/>
          <w:szCs w:val="28"/>
        </w:rPr>
        <w:t>。项目已具备询价采购条件，现进行公开采购，欢迎符合资格的</w:t>
      </w:r>
      <w:r>
        <w:rPr>
          <w:rFonts w:hint="eastAsia" w:ascii="仿宋_GB2312" w:hAnsi="仿宋" w:eastAsia="仿宋_GB2312"/>
          <w:color w:val="000000" w:themeColor="text1"/>
          <w:kern w:val="0"/>
          <w:sz w:val="28"/>
          <w:szCs w:val="24"/>
          <w14:textFill>
            <w14:solidFill>
              <w14:schemeClr w14:val="tx1"/>
            </w14:solidFill>
          </w14:textFill>
        </w:rPr>
        <w:t>供应商</w:t>
      </w:r>
      <w:r>
        <w:rPr>
          <w:rFonts w:hint="eastAsia" w:ascii="仿宋_GB2312" w:eastAsia="仿宋_GB2312"/>
          <w:sz w:val="28"/>
          <w:szCs w:val="28"/>
        </w:rPr>
        <w:t>参加本次询价采购活动。</w:t>
      </w:r>
    </w:p>
    <w:p w14:paraId="7EF23D0D">
      <w:pPr>
        <w:rPr>
          <w:rFonts w:hint="eastAsia" w:ascii="黑体" w:hAnsi="黑体" w:eastAsia="黑体"/>
          <w:sz w:val="28"/>
          <w:szCs w:val="28"/>
        </w:rPr>
      </w:pPr>
      <w:r>
        <w:rPr>
          <w:rFonts w:hint="eastAsia" w:ascii="黑体" w:hAnsi="黑体" w:eastAsia="黑体"/>
          <w:sz w:val="28"/>
          <w:szCs w:val="28"/>
        </w:rPr>
        <w:t>一、项目内容</w:t>
      </w:r>
    </w:p>
    <w:p w14:paraId="47D52687">
      <w:pPr>
        <w:spacing w:line="360" w:lineRule="auto"/>
        <w:jc w:val="left"/>
        <w:rPr>
          <w:rFonts w:ascii="仿宋_GB2312" w:hAnsi="仿宋" w:eastAsia="仿宋_GB2312"/>
          <w:color w:val="000000" w:themeColor="text1"/>
          <w:sz w:val="28"/>
          <w:szCs w:val="24"/>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 xml:space="preserve">（一）采购人：深圳书城龙华城实业有限公司  </w:t>
      </w:r>
      <w:r>
        <w:rPr>
          <w:rFonts w:hint="eastAsia" w:ascii="仿宋_GB2312" w:hAnsi="仿宋" w:eastAsia="仿宋_GB2312"/>
          <w:color w:val="000000" w:themeColor="text1"/>
          <w:sz w:val="28"/>
          <w:szCs w:val="24"/>
          <w14:textFill>
            <w14:solidFill>
              <w14:schemeClr w14:val="tx1"/>
            </w14:solidFill>
          </w14:textFill>
        </w:rPr>
        <w:t>地址:</w:t>
      </w:r>
      <w:r>
        <w:rPr>
          <w:rFonts w:hint="eastAsia" w:ascii="仿宋_GB2312" w:hAnsi="仿宋" w:eastAsia="仿宋_GB2312"/>
          <w:color w:val="000000" w:themeColor="text1"/>
          <w:sz w:val="28"/>
          <w:szCs w:val="24"/>
          <w:u w:val="single"/>
          <w14:textFill>
            <w14:solidFill>
              <w14:schemeClr w14:val="tx1"/>
            </w14:solidFill>
          </w14:textFill>
        </w:rPr>
        <w:t>深圳市龙华区龙华大道4189号深圳书城龙华城</w:t>
      </w:r>
      <w:r>
        <w:rPr>
          <w:rFonts w:hint="eastAsia" w:ascii="仿宋_GB2312" w:hAnsi="仿宋" w:eastAsia="仿宋_GB2312"/>
          <w:color w:val="000000" w:themeColor="text1"/>
          <w:sz w:val="28"/>
          <w:szCs w:val="24"/>
          <w:u w:val="single"/>
          <w:lang w:val="en-US" w:eastAsia="zh-CN"/>
          <w14:textFill>
            <w14:solidFill>
              <w14:schemeClr w14:val="tx1"/>
            </w14:solidFill>
          </w14:textFill>
        </w:rPr>
        <w:t>7</w:t>
      </w:r>
      <w:r>
        <w:rPr>
          <w:rFonts w:hint="eastAsia" w:ascii="仿宋_GB2312" w:hAnsi="仿宋" w:eastAsia="仿宋_GB2312"/>
          <w:color w:val="000000" w:themeColor="text1"/>
          <w:sz w:val="28"/>
          <w:szCs w:val="24"/>
          <w:u w:val="single"/>
          <w14:textFill>
            <w14:solidFill>
              <w14:schemeClr w14:val="tx1"/>
            </w14:solidFill>
          </w14:textFill>
        </w:rPr>
        <w:t>楼</w:t>
      </w:r>
      <w:r>
        <w:rPr>
          <w:rFonts w:hint="eastAsia" w:ascii="仿宋_GB2312" w:hAnsi="仿宋" w:eastAsia="仿宋_GB2312"/>
          <w:color w:val="000000" w:themeColor="text1"/>
          <w:sz w:val="28"/>
          <w:szCs w:val="24"/>
          <w14:textFill>
            <w14:solidFill>
              <w14:schemeClr w14:val="tx1"/>
            </w14:solidFill>
          </w14:textFill>
        </w:rPr>
        <w:t>。</w:t>
      </w:r>
    </w:p>
    <w:p w14:paraId="05F7AF59">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（二）项目名称：</w:t>
      </w:r>
      <w:r>
        <w:rPr>
          <w:rFonts w:hint="eastAsia" w:ascii="仿宋_GB2312" w:hAnsi="仿宋" w:eastAsia="仿宋_GB2312"/>
          <w:color w:val="000000" w:themeColor="text1"/>
          <w:sz w:val="28"/>
          <w:szCs w:val="28"/>
          <w:u w:val="single"/>
          <w:lang w:val="en-US" w:eastAsia="zh-CN"/>
          <w14:textFill>
            <w14:solidFill>
              <w14:schemeClr w14:val="tx1"/>
            </w14:solidFill>
          </w14:textFill>
        </w:rPr>
        <w:t>深圳书城龙华城2026年9月10日-2028年9月9日智能车库维保项目</w:t>
      </w:r>
    </w:p>
    <w:p w14:paraId="3853F2AF">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（三）项目采购范围：</w:t>
      </w:r>
      <w:r>
        <w:rPr>
          <w:rFonts w:hint="eastAsia" w:ascii="仿宋_GB2312" w:hAnsi="仿宋" w:eastAsia="仿宋_GB2312"/>
          <w:color w:val="000000" w:themeColor="text1"/>
          <w:sz w:val="28"/>
          <w:szCs w:val="28"/>
          <w:u w:val="single"/>
          <w:lang w:val="en-US" w:eastAsia="zh-CN"/>
          <w14:textFill>
            <w14:solidFill>
              <w14:schemeClr w14:val="tx1"/>
            </w14:solidFill>
          </w14:textFill>
        </w:rPr>
        <w:t>智能车库日常检查、预防性维护、电话紧急报修、安全检测和维护所需的所有配件设备更换；车位数：204个；服务期：2年</w:t>
      </w:r>
      <w:r>
        <w:rPr>
          <w:rFonts w:hint="eastAsia" w:ascii="仿宋_GB2312" w:hAnsi="仿宋" w:eastAsia="仿宋_GB2312"/>
          <w:color w:val="000000" w:themeColor="text1"/>
          <w:sz w:val="28"/>
          <w:szCs w:val="28"/>
          <w14:textFill>
            <w14:solidFill>
              <w14:schemeClr w14:val="tx1"/>
            </w14:solidFill>
          </w14:textFill>
        </w:rPr>
        <w:t>。</w:t>
      </w:r>
    </w:p>
    <w:p w14:paraId="07BD45ED">
      <w:pPr>
        <w:rPr>
          <w:rFonts w:hint="eastAsia" w:ascii="仿宋_GB2312" w:hAnsi="仿宋" w:eastAsia="仿宋_GB2312"/>
          <w:color w:val="000000" w:themeColor="text1"/>
          <w:sz w:val="28"/>
          <w:szCs w:val="28"/>
          <w:u w:val="single"/>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（四）</w:t>
      </w:r>
      <w:r>
        <w:rPr>
          <w:rFonts w:hint="eastAsia" w:ascii="仿宋_GB2312" w:hAnsi="仿宋" w:eastAsia="仿宋_GB2312"/>
          <w:color w:val="000000" w:themeColor="text1"/>
          <w:sz w:val="28"/>
          <w:szCs w:val="28"/>
          <w:lang w:val="en-US" w:eastAsia="zh-CN"/>
          <w14:textFill>
            <w14:solidFill>
              <w14:schemeClr w14:val="tx1"/>
            </w14:solidFill>
          </w14:textFill>
        </w:rPr>
        <w:t>最高限价</w:t>
      </w:r>
      <w:r>
        <w:rPr>
          <w:rFonts w:hint="eastAsia" w:ascii="仿宋_GB2312" w:hAnsi="仿宋" w:eastAsia="仿宋_GB2312"/>
          <w:color w:val="000000" w:themeColor="text1"/>
          <w:sz w:val="28"/>
          <w:szCs w:val="28"/>
          <w14:textFill>
            <w14:solidFill>
              <w14:schemeClr w14:val="tx1"/>
            </w14:solidFill>
          </w14:textFill>
        </w:rPr>
        <w:t>人民币</w:t>
      </w:r>
      <w:r>
        <w:rPr>
          <w:rFonts w:hint="eastAsia" w:ascii="仿宋_GB2312" w:hAnsi="仿宋" w:eastAsia="仿宋_GB2312"/>
          <w:color w:val="000000" w:themeColor="text1"/>
          <w:sz w:val="28"/>
          <w:szCs w:val="28"/>
          <w:u w:val="single"/>
          <w:lang w:val="en-US" w:eastAsia="zh-CN"/>
          <w14:textFill>
            <w14:solidFill>
              <w14:schemeClr w14:val="tx1"/>
            </w14:solidFill>
          </w14:textFill>
        </w:rPr>
        <w:t>400000</w:t>
      </w:r>
      <w:r>
        <w:rPr>
          <w:rFonts w:hint="eastAsia" w:ascii="仿宋_GB2312" w:hAnsi="仿宋" w:eastAsia="仿宋_GB2312"/>
          <w:b/>
          <w:bCs/>
          <w:color w:val="000000" w:themeColor="text1"/>
          <w:sz w:val="28"/>
          <w:szCs w:val="28"/>
          <w:u w:val="single"/>
          <w14:textFill>
            <w14:solidFill>
              <w14:schemeClr w14:val="tx1"/>
            </w14:solidFill>
          </w14:textFill>
        </w:rPr>
        <w:t>元（含税，含本数）</w:t>
      </w:r>
      <w:r>
        <w:rPr>
          <w:rFonts w:hint="eastAsia" w:ascii="仿宋_GB2312" w:hAnsi="仿宋" w:eastAsia="仿宋_GB2312"/>
          <w:b/>
          <w:color w:val="000000" w:themeColor="text1"/>
          <w:sz w:val="28"/>
          <w:szCs w:val="28"/>
          <w:u w:val="single"/>
          <w14:textFill>
            <w14:solidFill>
              <w14:schemeClr w14:val="tx1"/>
            </w14:solidFill>
          </w14:textFill>
        </w:rPr>
        <w:t>。</w:t>
      </w:r>
      <w:r>
        <w:rPr>
          <w:rFonts w:hint="eastAsia" w:ascii="仿宋_GB2312" w:hAnsi="仿宋" w:eastAsia="仿宋_GB2312"/>
          <w:color w:val="000000" w:themeColor="text1"/>
          <w:sz w:val="28"/>
          <w:szCs w:val="28"/>
          <w:u w:val="single"/>
          <w14:textFill>
            <w14:solidFill>
              <w14:schemeClr w14:val="tx1"/>
            </w14:solidFill>
          </w14:textFill>
        </w:rPr>
        <w:t>响应单位的总报价不得超过最高限价，否则其报价无效。</w:t>
      </w:r>
    </w:p>
    <w:p w14:paraId="0330395E">
      <w:pPr>
        <w:rPr>
          <w:rFonts w:hint="eastAsia" w:ascii="黑体" w:hAnsi="黑体" w:eastAsia="黑体"/>
          <w:sz w:val="28"/>
          <w:szCs w:val="28"/>
        </w:rPr>
      </w:pPr>
      <w:r>
        <w:rPr>
          <w:rFonts w:hint="eastAsia" w:ascii="黑体" w:hAnsi="黑体" w:eastAsia="黑体"/>
          <w:sz w:val="28"/>
          <w:szCs w:val="28"/>
        </w:rPr>
        <w:t>二、合格响应单位的资格审查标准</w:t>
      </w:r>
    </w:p>
    <w:p w14:paraId="6C157B53">
      <w:pPr>
        <w:rPr>
          <w:rFonts w:hint="eastAsia" w:ascii="仿宋_GB2312" w:hAnsi="仿宋" w:eastAsia="仿宋_GB2312"/>
          <w:sz w:val="28"/>
          <w:szCs w:val="28"/>
        </w:rPr>
      </w:pPr>
      <w:r>
        <w:rPr>
          <w:rFonts w:hint="eastAsia" w:ascii="仿宋_GB2312" w:hAnsi="仿宋" w:eastAsia="仿宋_GB2312"/>
          <w:sz w:val="28"/>
          <w:szCs w:val="28"/>
        </w:rPr>
        <w:t>（一）</w:t>
      </w:r>
      <w:r>
        <w:rPr>
          <w:rFonts w:hint="eastAsia" w:ascii="仿宋_GB2312" w:eastAsia="仿宋_GB2312"/>
          <w:sz w:val="28"/>
          <w:szCs w:val="28"/>
        </w:rPr>
        <w:t>投标人需在中华人民共和国境内合法注册持有合法有效的营业执照</w:t>
      </w:r>
      <w:r>
        <w:rPr>
          <w:rFonts w:hint="eastAsia" w:ascii="仿宋_GB2312" w:hAnsi="仿宋" w:eastAsia="仿宋_GB2312"/>
          <w:sz w:val="28"/>
          <w:szCs w:val="28"/>
        </w:rPr>
        <w:t>。</w:t>
      </w:r>
    </w:p>
    <w:p w14:paraId="0F29177E">
      <w:pPr>
        <w:rPr>
          <w:rFonts w:hint="eastAsia" w:ascii="仿宋_GB2312" w:hAnsi="仿宋" w:eastAsia="仿宋_GB2312"/>
          <w:sz w:val="28"/>
          <w:szCs w:val="28"/>
        </w:rPr>
      </w:pPr>
      <w:r>
        <w:rPr>
          <w:rFonts w:hint="eastAsia" w:ascii="仿宋_GB2312" w:hAnsi="仿宋" w:eastAsia="仿宋_GB2312"/>
          <w:sz w:val="28"/>
          <w:szCs w:val="28"/>
        </w:rPr>
        <w:t>（二）</w:t>
      </w:r>
      <w:r>
        <w:rPr>
          <w:rFonts w:hint="eastAsia" w:ascii="仿宋_GB2312" w:eastAsia="仿宋_GB2312"/>
          <w:sz w:val="28"/>
          <w:szCs w:val="28"/>
        </w:rPr>
        <w:t>近三年无司法行政处罚记录。</w:t>
      </w:r>
    </w:p>
    <w:p w14:paraId="7F090649">
      <w:pPr>
        <w:rPr>
          <w:rFonts w:hint="eastAsia" w:ascii="仿宋_GB2312" w:eastAsia="仿宋_GB2312"/>
          <w:sz w:val="28"/>
          <w:szCs w:val="28"/>
          <w:lang w:eastAsia="zh-CN"/>
        </w:rPr>
      </w:pPr>
      <w:r>
        <w:rPr>
          <w:rFonts w:hint="eastAsia" w:ascii="仿宋_GB2312" w:eastAsia="仿宋_GB2312"/>
          <w:sz w:val="28"/>
          <w:szCs w:val="28"/>
        </w:rPr>
        <w:t>（三）投标人需提供由市场监督管理部门核发的有效期内的《中华人民共和国特种设备生产许可证》，许可项目为“起重机械制造（含安装、修理、改造）”,许可子项目含(机械式停车设备)及平面移动类型式试验报告</w:t>
      </w:r>
      <w:r>
        <w:rPr>
          <w:rFonts w:hint="eastAsia" w:ascii="仿宋_GB2312" w:eastAsia="仿宋_GB2312"/>
          <w:sz w:val="28"/>
          <w:szCs w:val="28"/>
          <w:lang w:eastAsia="zh-CN"/>
        </w:rPr>
        <w:t>。</w:t>
      </w:r>
    </w:p>
    <w:p w14:paraId="0DBD43F9">
      <w:pPr>
        <w:rPr>
          <w:rFonts w:hint="eastAsia" w:ascii="仿宋_GB2312" w:eastAsia="仿宋_GB2312"/>
          <w:sz w:val="28"/>
          <w:szCs w:val="28"/>
        </w:rPr>
      </w:pPr>
      <w:r>
        <w:rPr>
          <w:rFonts w:hint="eastAsia" w:ascii="仿宋_GB2312" w:eastAsia="仿宋_GB2312"/>
          <w:sz w:val="28"/>
          <w:szCs w:val="28"/>
        </w:rPr>
        <w:t>（四）没有被列入“信用中国”网站(www.creditchina.gov.cn）的“失信被执行人”、“重大税收违法失信主体”、“政府采购严重违法失信行为记录名单”的情况。</w:t>
      </w:r>
    </w:p>
    <w:p w14:paraId="30E5716A">
      <w:pPr>
        <w:rPr>
          <w:rFonts w:hint="eastAsia" w:ascii="仿宋_GB2312" w:eastAsia="仿宋_GB2312"/>
          <w:sz w:val="28"/>
          <w:szCs w:val="28"/>
        </w:rPr>
      </w:pPr>
      <w:r>
        <w:rPr>
          <w:rFonts w:hint="eastAsia" w:ascii="仿宋_GB2312" w:eastAsia="仿宋_GB2312"/>
          <w:sz w:val="28"/>
          <w:szCs w:val="28"/>
        </w:rPr>
        <w:t>（五）开具</w:t>
      </w:r>
      <w:r>
        <w:rPr>
          <w:rFonts w:hint="eastAsia" w:ascii="仿宋_GB2312" w:eastAsia="仿宋_GB2312"/>
          <w:sz w:val="28"/>
          <w:szCs w:val="28"/>
          <w:lang w:val="en-US" w:eastAsia="zh-CN"/>
        </w:rPr>
        <w:t>服务维护</w:t>
      </w:r>
      <w:r>
        <w:rPr>
          <w:rFonts w:hint="eastAsia" w:ascii="仿宋_GB2312" w:eastAsia="仿宋_GB2312"/>
          <w:sz w:val="28"/>
          <w:szCs w:val="28"/>
        </w:rPr>
        <w:t>类型发票。</w:t>
      </w:r>
    </w:p>
    <w:p w14:paraId="6D3CADB2">
      <w:pPr>
        <w:rPr>
          <w:rFonts w:hint="eastAsia" w:ascii="仿宋_GB2312" w:eastAsia="仿宋_GB2312"/>
          <w:sz w:val="28"/>
          <w:szCs w:val="28"/>
        </w:rPr>
      </w:pPr>
      <w:r>
        <w:rPr>
          <w:rFonts w:hint="eastAsia" w:ascii="仿宋_GB2312" w:eastAsia="仿宋_GB2312"/>
          <w:sz w:val="28"/>
          <w:szCs w:val="28"/>
        </w:rPr>
        <w:t>（六）本项目不接受联合体参加，也不允许分包或转包。</w:t>
      </w:r>
    </w:p>
    <w:p w14:paraId="4BE07CBA">
      <w:pPr>
        <w:rPr>
          <w:rFonts w:hint="eastAsia" w:ascii="仿宋_GB2312" w:eastAsia="仿宋_GB2312"/>
          <w:sz w:val="28"/>
          <w:szCs w:val="28"/>
        </w:rPr>
      </w:pPr>
      <w:r>
        <w:rPr>
          <w:rFonts w:hint="eastAsia" w:ascii="仿宋_GB2312" w:eastAsia="仿宋_GB2312"/>
          <w:sz w:val="28"/>
          <w:szCs w:val="28"/>
        </w:rPr>
        <w:t>注：单位法定代表人/负责人为同一人或者存在直接控股、管理关系的不同响应单位，不得参加同一合同项下的采购活动。</w:t>
      </w:r>
    </w:p>
    <w:p w14:paraId="7E1DB72B">
      <w:pPr>
        <w:rPr>
          <w:rFonts w:hint="eastAsia" w:ascii="黑体" w:hAnsi="黑体" w:eastAsia="黑体"/>
          <w:sz w:val="28"/>
          <w:szCs w:val="28"/>
        </w:rPr>
      </w:pPr>
      <w:r>
        <w:rPr>
          <w:rFonts w:hint="eastAsia" w:ascii="黑体" w:hAnsi="黑体" w:eastAsia="黑体"/>
          <w:sz w:val="28"/>
          <w:szCs w:val="28"/>
        </w:rPr>
        <w:t>三、公告平台与公告期限</w:t>
      </w:r>
    </w:p>
    <w:p w14:paraId="5508F763">
      <w:pPr>
        <w:rPr>
          <w:rFonts w:hint="eastAsia" w:ascii="仿宋_GB2312" w:eastAsia="仿宋_GB2312"/>
          <w:sz w:val="28"/>
          <w:szCs w:val="28"/>
        </w:rPr>
      </w:pPr>
      <w:r>
        <w:rPr>
          <w:rFonts w:hint="eastAsia" w:ascii="仿宋_GB2312" w:eastAsia="仿宋_GB2312"/>
          <w:sz w:val="28"/>
          <w:szCs w:val="28"/>
        </w:rPr>
        <w:t>（一）公告平台：深圳出版集团有限公司官网、深圳阳光采购平台。</w:t>
      </w:r>
    </w:p>
    <w:p w14:paraId="54077A17">
      <w:pPr>
        <w:rPr>
          <w:rFonts w:hint="eastAsia" w:ascii="仿宋_GB2312" w:eastAsia="仿宋_GB2312"/>
          <w:sz w:val="28"/>
          <w:szCs w:val="28"/>
        </w:rPr>
      </w:pPr>
      <w:r>
        <w:rPr>
          <w:rFonts w:hint="eastAsia" w:ascii="仿宋_GB2312" w:eastAsia="仿宋_GB2312"/>
          <w:sz w:val="28"/>
          <w:szCs w:val="28"/>
        </w:rPr>
        <w:t>（二）公告期限：</w:t>
      </w:r>
      <w:r>
        <w:rPr>
          <w:rFonts w:hint="eastAsia" w:ascii="仿宋_GB2312" w:eastAsia="仿宋_GB2312"/>
          <w:sz w:val="28"/>
          <w:szCs w:val="28"/>
          <w:u w:val="single"/>
          <w:lang w:val="en-US" w:eastAsia="zh-CN"/>
        </w:rPr>
        <w:t>2026</w:t>
      </w:r>
      <w:r>
        <w:rPr>
          <w:rFonts w:hint="eastAsia" w:ascii="仿宋_GB2312" w:eastAsia="仿宋_GB2312"/>
          <w:sz w:val="28"/>
          <w:szCs w:val="28"/>
        </w:rPr>
        <w:t>年</w:t>
      </w:r>
      <w:r>
        <w:rPr>
          <w:rFonts w:hint="eastAsia" w:ascii="仿宋_GB2312" w:eastAsia="仿宋_GB2312"/>
          <w:sz w:val="28"/>
          <w:szCs w:val="28"/>
          <w:u w:val="single"/>
          <w:lang w:val="en-US" w:eastAsia="zh-CN"/>
        </w:rPr>
        <w:t>8</w:t>
      </w:r>
      <w:r>
        <w:rPr>
          <w:rFonts w:hint="eastAsia" w:ascii="仿宋_GB2312" w:eastAsia="仿宋_GB2312"/>
          <w:sz w:val="28"/>
          <w:szCs w:val="28"/>
        </w:rPr>
        <w:t>月</w:t>
      </w:r>
      <w:r>
        <w:rPr>
          <w:rFonts w:hint="eastAsia" w:ascii="仿宋_GB2312" w:eastAsia="仿宋_GB2312"/>
          <w:sz w:val="28"/>
          <w:szCs w:val="28"/>
          <w:u w:val="single"/>
          <w:lang w:val="en-US" w:eastAsia="zh-CN"/>
        </w:rPr>
        <w:t>19</w:t>
      </w:r>
      <w:r>
        <w:rPr>
          <w:rFonts w:hint="eastAsia" w:ascii="仿宋_GB2312" w:eastAsia="仿宋_GB2312"/>
          <w:sz w:val="28"/>
          <w:szCs w:val="28"/>
        </w:rPr>
        <w:t>日至</w:t>
      </w:r>
      <w:r>
        <w:rPr>
          <w:rFonts w:hint="eastAsia" w:ascii="仿宋_GB2312" w:eastAsia="仿宋_GB2312"/>
          <w:sz w:val="28"/>
          <w:szCs w:val="28"/>
          <w:u w:val="single"/>
          <w:lang w:val="en-US" w:eastAsia="zh-CN"/>
        </w:rPr>
        <w:t>2026</w:t>
      </w:r>
      <w:r>
        <w:rPr>
          <w:rFonts w:hint="eastAsia" w:ascii="仿宋_GB2312" w:eastAsia="仿宋_GB2312"/>
          <w:sz w:val="28"/>
          <w:szCs w:val="28"/>
        </w:rPr>
        <w:t>年</w:t>
      </w:r>
      <w:r>
        <w:rPr>
          <w:rFonts w:hint="eastAsia" w:ascii="仿宋_GB2312" w:eastAsia="仿宋_GB2312"/>
          <w:sz w:val="28"/>
          <w:szCs w:val="28"/>
          <w:u w:val="single"/>
          <w:lang w:val="en-US" w:eastAsia="zh-CN"/>
        </w:rPr>
        <w:t>8</w:t>
      </w:r>
      <w:r>
        <w:rPr>
          <w:rFonts w:hint="eastAsia" w:ascii="仿宋_GB2312" w:eastAsia="仿宋_GB2312"/>
          <w:sz w:val="28"/>
          <w:szCs w:val="28"/>
        </w:rPr>
        <w:t>月</w:t>
      </w:r>
      <w:r>
        <w:rPr>
          <w:rFonts w:hint="eastAsia" w:ascii="仿宋_GB2312" w:eastAsia="仿宋_GB2312"/>
          <w:sz w:val="28"/>
          <w:szCs w:val="28"/>
          <w:u w:val="single"/>
          <w:lang w:val="en-US" w:eastAsia="zh-CN"/>
        </w:rPr>
        <w:t>21</w:t>
      </w:r>
      <w:r>
        <w:rPr>
          <w:rFonts w:hint="eastAsia" w:ascii="仿宋_GB2312" w:eastAsia="仿宋_GB2312"/>
          <w:sz w:val="28"/>
          <w:szCs w:val="28"/>
        </w:rPr>
        <w:t>日</w:t>
      </w:r>
    </w:p>
    <w:p w14:paraId="3DE39820">
      <w:pPr>
        <w:rPr>
          <w:rFonts w:hint="eastAsia" w:ascii="黑体" w:hAnsi="黑体" w:eastAsia="黑体"/>
          <w:sz w:val="28"/>
          <w:szCs w:val="28"/>
        </w:rPr>
      </w:pPr>
      <w:r>
        <w:rPr>
          <w:rFonts w:hint="eastAsia" w:ascii="黑体" w:hAnsi="黑体" w:eastAsia="黑体"/>
          <w:sz w:val="28"/>
          <w:szCs w:val="28"/>
        </w:rPr>
        <w:t>四、获取采购文件时间、方式</w:t>
      </w:r>
    </w:p>
    <w:p w14:paraId="5F4FE04F">
      <w:pPr>
        <w:rPr>
          <w:rFonts w:hint="eastAsia" w:ascii="仿宋_GB2312" w:eastAsia="仿宋_GB2312"/>
          <w:sz w:val="28"/>
          <w:szCs w:val="28"/>
        </w:rPr>
      </w:pPr>
      <w:r>
        <w:rPr>
          <w:rFonts w:hint="eastAsia" w:ascii="仿宋_GB2312" w:eastAsia="仿宋_GB2312"/>
          <w:sz w:val="28"/>
          <w:szCs w:val="28"/>
        </w:rPr>
        <w:t>（一）获取采购文件的时间：</w:t>
      </w:r>
      <w:r>
        <w:rPr>
          <w:rFonts w:hint="eastAsia" w:ascii="仿宋_GB2312" w:eastAsia="仿宋_GB2312"/>
          <w:sz w:val="28"/>
          <w:szCs w:val="28"/>
          <w:u w:val="single"/>
          <w:lang w:val="en-US" w:eastAsia="zh-CN"/>
        </w:rPr>
        <w:t>2026</w:t>
      </w:r>
      <w:r>
        <w:rPr>
          <w:rFonts w:hint="eastAsia" w:ascii="仿宋_GB2312" w:eastAsia="仿宋_GB2312"/>
          <w:sz w:val="28"/>
          <w:szCs w:val="28"/>
        </w:rPr>
        <w:t>年</w:t>
      </w:r>
      <w:r>
        <w:rPr>
          <w:rFonts w:hint="eastAsia" w:ascii="仿宋_GB2312" w:eastAsia="仿宋_GB2312"/>
          <w:sz w:val="28"/>
          <w:szCs w:val="28"/>
          <w:u w:val="single"/>
          <w:lang w:val="en-US" w:eastAsia="zh-CN"/>
        </w:rPr>
        <w:t>8</w:t>
      </w:r>
      <w:r>
        <w:rPr>
          <w:rFonts w:hint="eastAsia" w:ascii="仿宋_GB2312" w:eastAsia="仿宋_GB2312"/>
          <w:sz w:val="28"/>
          <w:szCs w:val="28"/>
        </w:rPr>
        <w:t>月</w:t>
      </w:r>
      <w:r>
        <w:rPr>
          <w:rFonts w:hint="eastAsia" w:ascii="仿宋_GB2312" w:eastAsia="仿宋_GB2312"/>
          <w:sz w:val="28"/>
          <w:szCs w:val="28"/>
          <w:u w:val="single"/>
          <w:lang w:val="en-US" w:eastAsia="zh-CN"/>
        </w:rPr>
        <w:t>19</w:t>
      </w:r>
      <w:r>
        <w:rPr>
          <w:rFonts w:hint="eastAsia" w:ascii="仿宋_GB2312" w:eastAsia="仿宋_GB2312"/>
          <w:sz w:val="28"/>
          <w:szCs w:val="28"/>
        </w:rPr>
        <w:t>日至</w:t>
      </w:r>
      <w:r>
        <w:rPr>
          <w:rFonts w:hint="eastAsia" w:ascii="仿宋_GB2312" w:eastAsia="仿宋_GB2312"/>
          <w:sz w:val="28"/>
          <w:szCs w:val="28"/>
          <w:u w:val="single"/>
          <w:lang w:val="en-US" w:eastAsia="zh-CN"/>
        </w:rPr>
        <w:t>2026</w:t>
      </w:r>
      <w:r>
        <w:rPr>
          <w:rFonts w:hint="eastAsia" w:ascii="仿宋_GB2312" w:eastAsia="仿宋_GB2312"/>
          <w:sz w:val="28"/>
          <w:szCs w:val="28"/>
        </w:rPr>
        <w:t>年</w:t>
      </w:r>
      <w:r>
        <w:rPr>
          <w:rFonts w:hint="eastAsia" w:ascii="仿宋_GB2312" w:eastAsia="仿宋_GB2312"/>
          <w:sz w:val="28"/>
          <w:szCs w:val="28"/>
          <w:u w:val="single"/>
          <w:lang w:val="en-US" w:eastAsia="zh-CN"/>
        </w:rPr>
        <w:t>8</w:t>
      </w:r>
      <w:r>
        <w:rPr>
          <w:rFonts w:hint="eastAsia" w:ascii="仿宋_GB2312" w:eastAsia="仿宋_GB2312"/>
          <w:sz w:val="28"/>
          <w:szCs w:val="28"/>
        </w:rPr>
        <w:t>月</w:t>
      </w:r>
      <w:r>
        <w:rPr>
          <w:rFonts w:hint="eastAsia" w:ascii="仿宋_GB2312" w:eastAsia="仿宋_GB2312"/>
          <w:sz w:val="28"/>
          <w:szCs w:val="28"/>
          <w:u w:val="single"/>
          <w:lang w:val="en-US" w:eastAsia="zh-CN"/>
        </w:rPr>
        <w:t>21</w:t>
      </w:r>
      <w:r>
        <w:rPr>
          <w:rFonts w:hint="eastAsia" w:ascii="仿宋_GB2312" w:eastAsia="仿宋_GB2312"/>
          <w:sz w:val="28"/>
          <w:szCs w:val="28"/>
        </w:rPr>
        <w:t>日。</w:t>
      </w:r>
    </w:p>
    <w:p w14:paraId="165D2AFE">
      <w:pPr>
        <w:rPr>
          <w:rFonts w:hint="eastAsia" w:ascii="仿宋_GB2312" w:eastAsia="仿宋_GB2312"/>
          <w:sz w:val="28"/>
          <w:szCs w:val="28"/>
        </w:rPr>
      </w:pPr>
      <w:r>
        <w:rPr>
          <w:rFonts w:hint="eastAsia" w:ascii="仿宋_GB2312" w:eastAsia="仿宋_GB2312"/>
          <w:sz w:val="28"/>
          <w:szCs w:val="28"/>
        </w:rPr>
        <w:t>（二）获取采购文件的方式</w:t>
      </w:r>
      <w:r>
        <w:rPr>
          <w:rFonts w:hint="eastAsia" w:ascii="仿宋_GB2312" w:hAnsi="仿宋" w:eastAsia="仿宋_GB2312"/>
          <w:color w:val="000000" w:themeColor="text1"/>
          <w:sz w:val="28"/>
          <w:szCs w:val="28"/>
          <w14:textFill>
            <w14:solidFill>
              <w14:schemeClr w14:val="tx1"/>
            </w14:solidFill>
          </w14:textFill>
        </w:rPr>
        <w:t>：在深圳出版集团有限公司官网、深圳阳光采购平台下载。</w:t>
      </w:r>
    </w:p>
    <w:p w14:paraId="0F470228">
      <w:pPr>
        <w:rPr>
          <w:rFonts w:hint="eastAsia" w:ascii="仿宋_GB2312" w:eastAsia="仿宋_GB2312"/>
          <w:sz w:val="28"/>
          <w:szCs w:val="28"/>
        </w:rPr>
      </w:pPr>
      <w:r>
        <w:rPr>
          <w:rFonts w:hint="eastAsia" w:ascii="仿宋_GB2312" w:eastAsia="仿宋_GB2312"/>
          <w:sz w:val="28"/>
          <w:szCs w:val="28"/>
        </w:rPr>
        <w:t>（三）采购文件免费获取（电子采购文件）。</w:t>
      </w:r>
    </w:p>
    <w:p w14:paraId="322A6EA1">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（四）质疑截止时间：</w:t>
      </w:r>
      <w:r>
        <w:rPr>
          <w:rFonts w:hint="eastAsia" w:ascii="仿宋_GB2312" w:hAnsi="仿宋" w:eastAsia="仿宋_GB2312"/>
          <w:color w:val="000000" w:themeColor="text1"/>
          <w:sz w:val="28"/>
          <w:szCs w:val="28"/>
          <w:lang w:val="en-US" w:eastAsia="zh-CN"/>
          <w14:textFill>
            <w14:solidFill>
              <w14:schemeClr w14:val="tx1"/>
            </w14:solidFill>
          </w14:textFill>
        </w:rPr>
        <w:t>2026</w:t>
      </w:r>
      <w:r>
        <w:rPr>
          <w:rFonts w:hint="eastAsia" w:ascii="仿宋_GB2312" w:hAnsi="仿宋" w:eastAsia="仿宋_GB2312"/>
          <w:color w:val="000000" w:themeColor="text1"/>
          <w:sz w:val="28"/>
          <w:szCs w:val="28"/>
          <w14:textFill>
            <w14:solidFill>
              <w14:schemeClr w14:val="tx1"/>
            </w14:solidFill>
          </w14:textFill>
        </w:rPr>
        <w:t>年</w:t>
      </w:r>
      <w:r>
        <w:rPr>
          <w:rFonts w:hint="eastAsia" w:ascii="仿宋_GB2312" w:hAnsi="仿宋" w:eastAsia="仿宋_GB2312"/>
          <w:color w:val="000000" w:themeColor="text1"/>
          <w:sz w:val="28"/>
          <w:szCs w:val="28"/>
          <w:lang w:val="en-US" w:eastAsia="zh-CN"/>
          <w14:textFill>
            <w14:solidFill>
              <w14:schemeClr w14:val="tx1"/>
            </w14:solidFill>
          </w14:textFill>
        </w:rPr>
        <w:t>8</w:t>
      </w:r>
      <w:r>
        <w:rPr>
          <w:rFonts w:hint="eastAsia" w:ascii="仿宋_GB2312" w:hAnsi="仿宋" w:eastAsia="仿宋_GB2312"/>
          <w:color w:val="000000" w:themeColor="text1"/>
          <w:sz w:val="28"/>
          <w:szCs w:val="28"/>
          <w14:textFill>
            <w14:solidFill>
              <w14:schemeClr w14:val="tx1"/>
            </w14:solidFill>
          </w14:textFill>
        </w:rPr>
        <w:t>月</w:t>
      </w:r>
      <w:r>
        <w:rPr>
          <w:rFonts w:hint="eastAsia" w:ascii="仿宋_GB2312" w:hAnsi="仿宋" w:eastAsia="仿宋_GB2312"/>
          <w:color w:val="000000" w:themeColor="text1"/>
          <w:sz w:val="28"/>
          <w:szCs w:val="28"/>
          <w:lang w:val="en-US" w:eastAsia="zh-CN"/>
          <w14:textFill>
            <w14:solidFill>
              <w14:schemeClr w14:val="tx1"/>
            </w14:solidFill>
          </w14:textFill>
        </w:rPr>
        <w:t>21</w:t>
      </w:r>
      <w:r>
        <w:rPr>
          <w:rFonts w:hint="eastAsia" w:ascii="仿宋_GB2312" w:hAnsi="仿宋" w:eastAsia="仿宋_GB2312"/>
          <w:color w:val="000000" w:themeColor="text1"/>
          <w:sz w:val="28"/>
          <w:szCs w:val="28"/>
          <w14:textFill>
            <w14:solidFill>
              <w14:schemeClr w14:val="tx1"/>
            </w14:solidFill>
          </w14:textFill>
        </w:rPr>
        <w:t>日</w:t>
      </w:r>
      <w:r>
        <w:rPr>
          <w:rFonts w:hint="eastAsia" w:ascii="仿宋_GB2312" w:hAnsi="仿宋" w:eastAsia="仿宋_GB2312"/>
          <w:color w:val="000000" w:themeColor="text1"/>
          <w:sz w:val="28"/>
          <w:szCs w:val="28"/>
          <w:lang w:val="en-US" w:eastAsia="zh-CN"/>
          <w14:textFill>
            <w14:solidFill>
              <w14:schemeClr w14:val="tx1"/>
            </w14:solidFill>
          </w14:textFill>
        </w:rPr>
        <w:t>16</w:t>
      </w:r>
      <w:r>
        <w:rPr>
          <w:rFonts w:hint="eastAsia" w:ascii="仿宋_GB2312" w:hAnsi="仿宋" w:eastAsia="仿宋_GB2312"/>
          <w:color w:val="000000" w:themeColor="text1"/>
          <w:sz w:val="28"/>
          <w:szCs w:val="28"/>
          <w14:textFill>
            <w14:solidFill>
              <w14:schemeClr w14:val="tx1"/>
            </w14:solidFill>
          </w14:textFill>
        </w:rPr>
        <w:t>:</w:t>
      </w:r>
      <w:r>
        <w:rPr>
          <w:rFonts w:hint="eastAsia" w:ascii="仿宋_GB2312" w:hAnsi="仿宋" w:eastAsia="仿宋_GB2312"/>
          <w:color w:val="000000" w:themeColor="text1"/>
          <w:sz w:val="28"/>
          <w:szCs w:val="28"/>
          <w:lang w:val="en-US" w:eastAsia="zh-CN"/>
          <w14:textFill>
            <w14:solidFill>
              <w14:schemeClr w14:val="tx1"/>
            </w14:solidFill>
          </w14:textFill>
        </w:rPr>
        <w:t>00</w:t>
      </w:r>
      <w:r>
        <w:rPr>
          <w:rFonts w:hint="eastAsia" w:ascii="仿宋_GB2312" w:hAnsi="仿宋" w:eastAsia="仿宋_GB2312"/>
          <w:color w:val="000000" w:themeColor="text1"/>
          <w:sz w:val="28"/>
          <w:szCs w:val="28"/>
          <w14:textFill>
            <w14:solidFill>
              <w14:schemeClr w14:val="tx1"/>
            </w14:solidFill>
          </w14:textFill>
        </w:rPr>
        <w:t>前。</w:t>
      </w:r>
    </w:p>
    <w:p w14:paraId="20E2F5E0">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澄清、修改、答疑截止时间:</w:t>
      </w:r>
      <w:r>
        <w:rPr>
          <w:rFonts w:hint="eastAsia" w:ascii="仿宋_GB2312" w:hAnsi="仿宋" w:eastAsia="仿宋_GB2312"/>
          <w:color w:val="000000" w:themeColor="text1"/>
          <w:sz w:val="28"/>
          <w:szCs w:val="28"/>
          <w:lang w:val="en-US" w:eastAsia="zh-CN"/>
          <w14:textFill>
            <w14:solidFill>
              <w14:schemeClr w14:val="tx1"/>
            </w14:solidFill>
          </w14:textFill>
        </w:rPr>
        <w:t>2026</w:t>
      </w:r>
      <w:r>
        <w:rPr>
          <w:rFonts w:hint="eastAsia" w:ascii="仿宋_GB2312" w:hAnsi="仿宋" w:eastAsia="仿宋_GB2312"/>
          <w:color w:val="000000" w:themeColor="text1"/>
          <w:sz w:val="28"/>
          <w:szCs w:val="28"/>
          <w14:textFill>
            <w14:solidFill>
              <w14:schemeClr w14:val="tx1"/>
            </w14:solidFill>
          </w14:textFill>
        </w:rPr>
        <w:t>年</w:t>
      </w:r>
      <w:r>
        <w:rPr>
          <w:rFonts w:hint="eastAsia" w:ascii="仿宋_GB2312" w:hAnsi="仿宋" w:eastAsia="仿宋_GB2312"/>
          <w:color w:val="000000" w:themeColor="text1"/>
          <w:sz w:val="28"/>
          <w:szCs w:val="28"/>
          <w:lang w:val="en-US" w:eastAsia="zh-CN"/>
          <w14:textFill>
            <w14:solidFill>
              <w14:schemeClr w14:val="tx1"/>
            </w14:solidFill>
          </w14:textFill>
        </w:rPr>
        <w:t>8</w:t>
      </w:r>
      <w:r>
        <w:rPr>
          <w:rFonts w:hint="eastAsia" w:ascii="仿宋_GB2312" w:hAnsi="仿宋" w:eastAsia="仿宋_GB2312"/>
          <w:color w:val="000000" w:themeColor="text1"/>
          <w:sz w:val="28"/>
          <w:szCs w:val="28"/>
          <w14:textFill>
            <w14:solidFill>
              <w14:schemeClr w14:val="tx1"/>
            </w14:solidFill>
          </w14:textFill>
        </w:rPr>
        <w:t>月</w:t>
      </w:r>
      <w:r>
        <w:rPr>
          <w:rFonts w:hint="eastAsia" w:ascii="仿宋_GB2312" w:hAnsi="仿宋" w:eastAsia="仿宋_GB2312"/>
          <w:color w:val="000000" w:themeColor="text1"/>
          <w:sz w:val="28"/>
          <w:szCs w:val="28"/>
          <w:lang w:val="en-US" w:eastAsia="zh-CN"/>
          <w14:textFill>
            <w14:solidFill>
              <w14:schemeClr w14:val="tx1"/>
            </w14:solidFill>
          </w14:textFill>
        </w:rPr>
        <w:t>24</w:t>
      </w:r>
      <w:r>
        <w:rPr>
          <w:rFonts w:hint="eastAsia" w:ascii="仿宋_GB2312" w:hAnsi="仿宋" w:eastAsia="仿宋_GB2312"/>
          <w:color w:val="000000" w:themeColor="text1"/>
          <w:sz w:val="28"/>
          <w:szCs w:val="28"/>
          <w14:textFill>
            <w14:solidFill>
              <w14:schemeClr w14:val="tx1"/>
            </w14:solidFill>
          </w14:textFill>
        </w:rPr>
        <w:t>日</w:t>
      </w:r>
      <w:r>
        <w:rPr>
          <w:rFonts w:hint="eastAsia" w:ascii="仿宋_GB2312" w:hAnsi="仿宋" w:eastAsia="仿宋_GB2312"/>
          <w:color w:val="000000" w:themeColor="text1"/>
          <w:sz w:val="28"/>
          <w:szCs w:val="28"/>
          <w:lang w:val="en-US" w:eastAsia="zh-CN"/>
          <w14:textFill>
            <w14:solidFill>
              <w14:schemeClr w14:val="tx1"/>
            </w14:solidFill>
          </w14:textFill>
        </w:rPr>
        <w:t>10</w:t>
      </w:r>
      <w:r>
        <w:rPr>
          <w:rFonts w:hint="eastAsia" w:ascii="仿宋_GB2312" w:hAnsi="仿宋" w:eastAsia="仿宋_GB2312"/>
          <w:color w:val="000000" w:themeColor="text1"/>
          <w:sz w:val="28"/>
          <w:szCs w:val="28"/>
          <w14:textFill>
            <w14:solidFill>
              <w14:schemeClr w14:val="tx1"/>
            </w14:solidFill>
          </w14:textFill>
        </w:rPr>
        <w:t>:</w:t>
      </w:r>
      <w:r>
        <w:rPr>
          <w:rFonts w:hint="eastAsia" w:ascii="仿宋_GB2312" w:hAnsi="仿宋" w:eastAsia="仿宋_GB2312"/>
          <w:color w:val="000000" w:themeColor="text1"/>
          <w:sz w:val="28"/>
          <w:szCs w:val="28"/>
          <w:lang w:val="en-US" w:eastAsia="zh-CN"/>
          <w14:textFill>
            <w14:solidFill>
              <w14:schemeClr w14:val="tx1"/>
            </w14:solidFill>
          </w14:textFill>
        </w:rPr>
        <w:t>00</w:t>
      </w:r>
      <w:r>
        <w:rPr>
          <w:rFonts w:hint="eastAsia" w:ascii="仿宋_GB2312" w:hAnsi="仿宋" w:eastAsia="仿宋_GB2312"/>
          <w:color w:val="000000" w:themeColor="text1"/>
          <w:sz w:val="28"/>
          <w:szCs w:val="28"/>
          <w14:textFill>
            <w14:solidFill>
              <w14:schemeClr w14:val="tx1"/>
            </w14:solidFill>
          </w14:textFill>
        </w:rPr>
        <w:t>前。</w:t>
      </w:r>
    </w:p>
    <w:p w14:paraId="3DFF4E9E">
      <w:pPr>
        <w:rPr>
          <w:rFonts w:hint="eastAsia" w:ascii="黑体" w:hAnsi="黑体" w:eastAsia="黑体"/>
          <w:sz w:val="28"/>
          <w:szCs w:val="28"/>
        </w:rPr>
      </w:pPr>
      <w:r>
        <w:rPr>
          <w:rFonts w:hint="eastAsia" w:ascii="黑体" w:hAnsi="黑体" w:eastAsia="黑体"/>
          <w:sz w:val="28"/>
          <w:szCs w:val="28"/>
        </w:rPr>
        <w:t>五、响应文件提交及开启响应文件时间及地点</w:t>
      </w:r>
    </w:p>
    <w:p w14:paraId="0677DEBD">
      <w:pPr>
        <w:rPr>
          <w:rFonts w:hint="eastAsia" w:ascii="仿宋_GB2312" w:eastAsia="仿宋_GB2312"/>
          <w:sz w:val="28"/>
          <w:szCs w:val="28"/>
        </w:rPr>
      </w:pPr>
      <w:r>
        <w:rPr>
          <w:rFonts w:hint="eastAsia" w:ascii="仿宋_GB2312" w:eastAsia="仿宋_GB2312"/>
          <w:sz w:val="28"/>
          <w:szCs w:val="28"/>
        </w:rPr>
        <w:t>（一）提交响应文件截止时间：</w:t>
      </w:r>
      <w:r>
        <w:rPr>
          <w:rFonts w:hint="eastAsia" w:ascii="仿宋_GB2312" w:eastAsia="仿宋_GB2312"/>
          <w:sz w:val="28"/>
          <w:szCs w:val="28"/>
          <w:lang w:val="en-US" w:eastAsia="zh-CN"/>
        </w:rPr>
        <w:t>2026</w:t>
      </w:r>
      <w:r>
        <w:rPr>
          <w:rFonts w:hint="eastAsia" w:ascii="仿宋_GB2312" w:eastAsia="仿宋_GB2312"/>
          <w:sz w:val="28"/>
          <w:szCs w:val="28"/>
        </w:rPr>
        <w:t>年</w:t>
      </w:r>
      <w:r>
        <w:rPr>
          <w:rFonts w:hint="eastAsia" w:ascii="仿宋_GB2312" w:eastAsia="仿宋_GB2312"/>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24</w:t>
      </w:r>
      <w:r>
        <w:rPr>
          <w:rFonts w:hint="eastAsia" w:ascii="仿宋_GB2312" w:eastAsia="仿宋_GB2312"/>
          <w:sz w:val="28"/>
          <w:szCs w:val="28"/>
        </w:rPr>
        <w:t>日</w:t>
      </w:r>
      <w:r>
        <w:rPr>
          <w:rFonts w:hint="eastAsia" w:ascii="仿宋_GB2312" w:eastAsia="仿宋_GB2312"/>
          <w:sz w:val="28"/>
          <w:szCs w:val="28"/>
          <w:lang w:val="en-US" w:eastAsia="zh-CN"/>
        </w:rPr>
        <w:t>16</w:t>
      </w:r>
      <w:r>
        <w:rPr>
          <w:rFonts w:hint="eastAsia" w:ascii="仿宋_GB2312" w:eastAsia="仿宋_GB2312"/>
          <w:sz w:val="28"/>
          <w:szCs w:val="28"/>
        </w:rPr>
        <w:t>:</w:t>
      </w:r>
      <w:r>
        <w:rPr>
          <w:rFonts w:hint="eastAsia" w:ascii="仿宋_GB2312" w:eastAsia="仿宋_GB2312"/>
          <w:sz w:val="28"/>
          <w:szCs w:val="28"/>
          <w:lang w:val="en-US" w:eastAsia="zh-CN"/>
        </w:rPr>
        <w:t>00</w:t>
      </w:r>
      <w:r>
        <w:rPr>
          <w:rFonts w:hint="eastAsia" w:ascii="仿宋_GB2312" w:eastAsia="仿宋_GB2312"/>
          <w:sz w:val="28"/>
          <w:szCs w:val="28"/>
        </w:rPr>
        <w:t>前。</w:t>
      </w:r>
    </w:p>
    <w:p w14:paraId="3FA8BC3F">
      <w:pPr>
        <w:rPr>
          <w:rFonts w:hint="eastAsia" w:ascii="仿宋_GB2312" w:eastAsia="仿宋_GB2312"/>
          <w:sz w:val="28"/>
          <w:szCs w:val="28"/>
        </w:rPr>
      </w:pPr>
      <w:r>
        <w:rPr>
          <w:rFonts w:hint="eastAsia" w:ascii="仿宋_GB2312" w:eastAsia="仿宋_GB2312"/>
          <w:sz w:val="28"/>
          <w:szCs w:val="28"/>
        </w:rPr>
        <w:t>（二）提交响应文件地点：深圳市龙华区龙华大道4189号深圳书城龙华城</w:t>
      </w:r>
      <w:r>
        <w:rPr>
          <w:rFonts w:hint="eastAsia" w:ascii="仿宋_GB2312" w:eastAsia="仿宋_GB2312"/>
          <w:sz w:val="28"/>
          <w:szCs w:val="28"/>
          <w:lang w:val="en-US" w:eastAsia="zh-CN"/>
        </w:rPr>
        <w:t>7楼办公室</w:t>
      </w:r>
      <w:r>
        <w:rPr>
          <w:rFonts w:hint="eastAsia" w:ascii="仿宋_GB2312" w:eastAsia="仿宋_GB2312"/>
          <w:sz w:val="28"/>
          <w:szCs w:val="28"/>
        </w:rPr>
        <w:t>。</w:t>
      </w:r>
    </w:p>
    <w:p w14:paraId="474A9095">
      <w:pPr>
        <w:rPr>
          <w:rFonts w:hint="eastAsia" w:ascii="仿宋_GB2312" w:eastAsia="仿宋_GB2312"/>
          <w:sz w:val="28"/>
          <w:szCs w:val="28"/>
        </w:rPr>
      </w:pPr>
      <w:r>
        <w:rPr>
          <w:rFonts w:hint="eastAsia" w:ascii="仿宋_GB2312" w:eastAsia="仿宋_GB2312"/>
          <w:sz w:val="28"/>
          <w:szCs w:val="28"/>
        </w:rPr>
        <w:t>（三）开启响应文件时间：</w:t>
      </w:r>
      <w:r>
        <w:rPr>
          <w:rFonts w:hint="eastAsia" w:ascii="仿宋_GB2312" w:eastAsia="仿宋_GB2312"/>
          <w:sz w:val="28"/>
          <w:szCs w:val="28"/>
          <w:lang w:val="en-US" w:eastAsia="zh-CN"/>
        </w:rPr>
        <w:t>2026</w:t>
      </w:r>
      <w:r>
        <w:rPr>
          <w:rFonts w:hint="eastAsia" w:ascii="仿宋_GB2312" w:eastAsia="仿宋_GB2312"/>
          <w:sz w:val="28"/>
          <w:szCs w:val="28"/>
        </w:rPr>
        <w:t>年</w:t>
      </w:r>
      <w:r>
        <w:rPr>
          <w:rFonts w:hint="eastAsia" w:ascii="仿宋_GB2312" w:eastAsia="仿宋_GB2312"/>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25</w:t>
      </w:r>
      <w:r>
        <w:rPr>
          <w:rFonts w:hint="eastAsia" w:ascii="仿宋_GB2312" w:eastAsia="仿宋_GB2312"/>
          <w:sz w:val="28"/>
          <w:szCs w:val="28"/>
        </w:rPr>
        <w:t>日</w:t>
      </w:r>
      <w:r>
        <w:rPr>
          <w:rFonts w:hint="eastAsia" w:ascii="仿宋_GB2312" w:eastAsia="仿宋_GB2312"/>
          <w:sz w:val="28"/>
          <w:szCs w:val="28"/>
          <w:lang w:val="en-US" w:eastAsia="zh-CN"/>
        </w:rPr>
        <w:t>10</w:t>
      </w:r>
      <w:r>
        <w:rPr>
          <w:rFonts w:hint="eastAsia" w:ascii="仿宋_GB2312" w:eastAsia="仿宋_GB2312"/>
          <w:sz w:val="28"/>
          <w:szCs w:val="28"/>
        </w:rPr>
        <w:t>:</w:t>
      </w:r>
      <w:r>
        <w:rPr>
          <w:rFonts w:hint="eastAsia" w:ascii="仿宋_GB2312" w:eastAsia="仿宋_GB2312"/>
          <w:sz w:val="28"/>
          <w:szCs w:val="28"/>
          <w:lang w:val="en-US" w:eastAsia="zh-CN"/>
        </w:rPr>
        <w:t>30</w:t>
      </w:r>
      <w:r>
        <w:rPr>
          <w:rFonts w:hint="eastAsia" w:ascii="仿宋_GB2312" w:eastAsia="仿宋_GB2312"/>
          <w:sz w:val="28"/>
          <w:szCs w:val="28"/>
        </w:rPr>
        <w:t>（如有变更另行通知）。</w:t>
      </w:r>
    </w:p>
    <w:p w14:paraId="129979DA">
      <w:pPr>
        <w:rPr>
          <w:rFonts w:hint="eastAsia" w:ascii="仿宋_GB2312" w:eastAsia="仿宋_GB2312"/>
          <w:sz w:val="28"/>
          <w:szCs w:val="28"/>
        </w:rPr>
      </w:pPr>
      <w:r>
        <w:rPr>
          <w:rFonts w:hint="eastAsia" w:ascii="仿宋_GB2312" w:eastAsia="仿宋_GB2312"/>
          <w:sz w:val="28"/>
          <w:szCs w:val="28"/>
        </w:rPr>
        <w:t>（四）开启响应文件地点：深圳市龙华区龙华大道4189号深圳书城龙华城</w:t>
      </w:r>
      <w:r>
        <w:rPr>
          <w:rFonts w:hint="eastAsia" w:ascii="仿宋_GB2312" w:eastAsia="仿宋_GB2312"/>
          <w:sz w:val="28"/>
          <w:szCs w:val="28"/>
          <w:lang w:val="en-US" w:eastAsia="zh-CN"/>
        </w:rPr>
        <w:t>5楼</w:t>
      </w:r>
      <w:r>
        <w:rPr>
          <w:rFonts w:hint="eastAsia" w:ascii="仿宋_GB2312" w:eastAsia="仿宋_GB2312"/>
          <w:sz w:val="28"/>
          <w:szCs w:val="28"/>
        </w:rPr>
        <w:t>办公室（如有变更另行通知）。</w:t>
      </w:r>
    </w:p>
    <w:p w14:paraId="24E44BE1">
      <w:pPr>
        <w:ind w:firstLine="640"/>
        <w:rPr>
          <w:rFonts w:hint="eastAsia" w:ascii="仿宋_GB2312" w:eastAsia="仿宋_GB2312"/>
          <w:sz w:val="28"/>
          <w:szCs w:val="28"/>
        </w:rPr>
      </w:pPr>
      <w:r>
        <w:rPr>
          <w:rFonts w:hint="eastAsia" w:ascii="仿宋_GB2312" w:hAnsi="仿宋_GB2312" w:eastAsia="仿宋_GB2312" w:cs="仿宋_GB2312"/>
          <w:sz w:val="32"/>
        </w:rPr>
        <w:t>逾期送达或者未按照采购文件要求密封的响应文件，采购人有权拒收。</w:t>
      </w:r>
    </w:p>
    <w:p w14:paraId="653FCC9B">
      <w:pPr>
        <w:rPr>
          <w:rFonts w:hint="eastAsia" w:ascii="黑体" w:hAnsi="黑体" w:eastAsia="黑体"/>
          <w:sz w:val="28"/>
          <w:szCs w:val="28"/>
        </w:rPr>
      </w:pPr>
      <w:r>
        <w:rPr>
          <w:rFonts w:hint="eastAsia" w:ascii="黑体" w:hAnsi="黑体" w:eastAsia="黑体"/>
          <w:sz w:val="28"/>
          <w:szCs w:val="28"/>
        </w:rPr>
        <w:t>六、项目联系人及联系方式</w:t>
      </w:r>
    </w:p>
    <w:p w14:paraId="6880E776">
      <w:pPr>
        <w:rPr>
          <w:rFonts w:hint="eastAsia" w:ascii="仿宋_GB2312" w:eastAsia="仿宋_GB2312"/>
          <w:sz w:val="28"/>
          <w:szCs w:val="28"/>
          <w:lang w:eastAsia="zh-CN"/>
        </w:rPr>
      </w:pPr>
      <w:r>
        <w:rPr>
          <w:rFonts w:hint="eastAsia" w:ascii="仿宋_GB2312" w:eastAsia="仿宋_GB2312"/>
          <w:sz w:val="28"/>
          <w:szCs w:val="28"/>
        </w:rPr>
        <w:t>（一）联系人：</w:t>
      </w:r>
      <w:r>
        <w:rPr>
          <w:rFonts w:hint="eastAsia" w:ascii="仿宋_GB2312" w:eastAsia="仿宋_GB2312"/>
          <w:sz w:val="28"/>
          <w:szCs w:val="28"/>
          <w:u w:val="single"/>
          <w:lang w:val="en-US" w:eastAsia="zh-CN"/>
        </w:rPr>
        <w:t>陈家政</w:t>
      </w:r>
    </w:p>
    <w:p w14:paraId="55ACB47C">
      <w:pPr>
        <w:rPr>
          <w:rFonts w:hint="default" w:ascii="仿宋_GB2312" w:eastAsia="仿宋_GB2312"/>
          <w:sz w:val="28"/>
          <w:szCs w:val="28"/>
          <w:lang w:val="en-US" w:eastAsia="zh-CN"/>
        </w:rPr>
      </w:pPr>
      <w:r>
        <w:rPr>
          <w:rFonts w:hint="eastAsia" w:ascii="仿宋_GB2312" w:eastAsia="仿宋_GB2312"/>
          <w:sz w:val="28"/>
          <w:szCs w:val="28"/>
        </w:rPr>
        <w:t>（二）联系电话：</w:t>
      </w:r>
      <w:r>
        <w:rPr>
          <w:rFonts w:hint="eastAsia" w:ascii="仿宋_GB2312" w:eastAsia="仿宋_GB2312"/>
          <w:sz w:val="28"/>
          <w:szCs w:val="28"/>
          <w:u w:val="single"/>
          <w:lang w:val="en-US" w:eastAsia="zh-CN"/>
        </w:rPr>
        <w:t>18026954762</w:t>
      </w:r>
    </w:p>
    <w:p w14:paraId="1038A461">
      <w:pPr>
        <w:rPr>
          <w:rFonts w:hint="eastAsia" w:ascii="仿宋_GB2312" w:eastAsia="仿宋_GB2312"/>
          <w:sz w:val="28"/>
          <w:szCs w:val="28"/>
          <w:u w:val="single"/>
          <w:lang w:val="en-US" w:eastAsia="zh-CN"/>
        </w:rPr>
      </w:pPr>
      <w:r>
        <w:rPr>
          <w:rFonts w:hint="eastAsia" w:ascii="仿宋_GB2312" w:eastAsia="仿宋_GB2312"/>
          <w:sz w:val="28"/>
          <w:szCs w:val="28"/>
        </w:rPr>
        <w:t>（三）邮箱：</w:t>
      </w:r>
      <w:r>
        <w:rPr>
          <w:rFonts w:hint="eastAsia" w:ascii="仿宋_GB2312" w:eastAsia="仿宋_GB2312"/>
          <w:sz w:val="28"/>
          <w:szCs w:val="28"/>
          <w:u w:val="single"/>
          <w:lang w:val="en-US" w:eastAsia="zh-CN"/>
        </w:rPr>
        <w:fldChar w:fldCharType="begin"/>
      </w:r>
      <w:r>
        <w:rPr>
          <w:rFonts w:hint="eastAsia" w:ascii="仿宋_GB2312" w:eastAsia="仿宋_GB2312"/>
          <w:sz w:val="28"/>
          <w:szCs w:val="28"/>
          <w:u w:val="single"/>
          <w:lang w:val="en-US" w:eastAsia="zh-CN"/>
        </w:rPr>
        <w:instrText xml:space="preserve"> HYPERLINK "mailto:383591603@qq.com" </w:instrText>
      </w:r>
      <w:r>
        <w:rPr>
          <w:rFonts w:hint="eastAsia" w:ascii="仿宋_GB2312" w:eastAsia="仿宋_GB2312"/>
          <w:sz w:val="28"/>
          <w:szCs w:val="28"/>
          <w:u w:val="single"/>
          <w:lang w:val="en-US" w:eastAsia="zh-CN"/>
        </w:rPr>
        <w:fldChar w:fldCharType="separate"/>
      </w:r>
      <w:r>
        <w:rPr>
          <w:rStyle w:val="17"/>
          <w:rFonts w:hint="eastAsia" w:ascii="仿宋_GB2312" w:eastAsia="仿宋_GB2312"/>
          <w:sz w:val="28"/>
          <w:szCs w:val="28"/>
          <w:lang w:val="en-US" w:eastAsia="zh-CN"/>
        </w:rPr>
        <w:t>383591603@qq.com</w:t>
      </w:r>
      <w:r>
        <w:rPr>
          <w:rFonts w:hint="eastAsia" w:ascii="仿宋_GB2312" w:eastAsia="仿宋_GB2312"/>
          <w:sz w:val="28"/>
          <w:szCs w:val="28"/>
          <w:u w:val="single"/>
          <w:lang w:val="en-US" w:eastAsia="zh-CN"/>
        </w:rPr>
        <w:fldChar w:fldCharType="end"/>
      </w:r>
    </w:p>
    <w:bookmarkEnd w:id="20"/>
    <w:p w14:paraId="01C2E561">
      <w:pPr>
        <w:rPr>
          <w:rFonts w:hint="default" w:ascii="仿宋_GB2312" w:eastAsia="仿宋_GB2312"/>
          <w:sz w:val="28"/>
          <w:szCs w:val="28"/>
          <w:u w:val="single"/>
          <w:lang w:val="en-US" w:eastAsia="zh-CN"/>
        </w:rPr>
      </w:pPr>
    </w:p>
    <w:p w14:paraId="57623E37">
      <w:pPr>
        <w:pStyle w:val="2"/>
        <w:ind w:firstLine="720"/>
        <w:rPr>
          <w:rFonts w:hint="eastAsia"/>
        </w:rPr>
      </w:pPr>
      <w:bookmarkStart w:id="1" w:name="_Toc161591783"/>
      <w:r>
        <w:rPr>
          <w:rFonts w:hint="eastAsia"/>
        </w:rPr>
        <w:t>第二章</w:t>
      </w:r>
      <w:r>
        <w:t xml:space="preserve"> </w:t>
      </w:r>
      <w:r>
        <w:rPr>
          <w:rFonts w:hint="eastAsia"/>
        </w:rPr>
        <w:t>采购需求</w:t>
      </w:r>
      <w:bookmarkEnd w:id="1"/>
    </w:p>
    <w:p w14:paraId="0AA37FE3">
      <w:pPr>
        <w:numPr>
          <w:ilvl w:val="0"/>
          <w:numId w:val="0"/>
        </w:numPr>
        <w:spacing w:line="360" w:lineRule="auto"/>
        <w:ind w:firstLine="560" w:firstLineChars="200"/>
        <w:jc w:val="left"/>
        <w:rPr>
          <w:rFonts w:hint="eastAsia" w:ascii="仿宋_GB2312" w:eastAsia="仿宋_GB2312"/>
          <w:sz w:val="28"/>
          <w:szCs w:val="28"/>
        </w:rPr>
      </w:pPr>
      <w:r>
        <w:rPr>
          <w:rFonts w:hint="eastAsia" w:ascii="仿宋_GB2312" w:eastAsia="仿宋_GB2312"/>
          <w:sz w:val="28"/>
          <w:szCs w:val="28"/>
        </w:rPr>
        <w:t>本次采购服务范围为：</w:t>
      </w:r>
      <w:r>
        <w:rPr>
          <w:rFonts w:hint="eastAsia" w:ascii="仿宋_GB2312" w:eastAsia="仿宋_GB2312"/>
          <w:sz w:val="28"/>
          <w:szCs w:val="28"/>
          <w:u w:val="single"/>
        </w:rPr>
        <w:t>智能车库日常检查、预防性维护、电话紧急报修、安全检测和维护所需的所有配件设备更换</w:t>
      </w:r>
      <w:r>
        <w:rPr>
          <w:rFonts w:hint="eastAsia" w:ascii="仿宋_GB2312" w:eastAsia="仿宋_GB2312"/>
          <w:sz w:val="28"/>
          <w:szCs w:val="28"/>
          <w:u w:val="single"/>
          <w:lang w:eastAsia="zh-CN"/>
        </w:rPr>
        <w:t>，</w:t>
      </w:r>
      <w:r>
        <w:rPr>
          <w:rFonts w:hint="eastAsia" w:ascii="仿宋_GB2312" w:eastAsia="仿宋_GB2312"/>
          <w:sz w:val="28"/>
          <w:szCs w:val="28"/>
          <w:u w:val="single"/>
        </w:rPr>
        <w:t>服务期：</w:t>
      </w:r>
      <w:r>
        <w:rPr>
          <w:rFonts w:hint="eastAsia" w:ascii="仿宋_GB2312" w:eastAsia="仿宋_GB2312"/>
          <w:sz w:val="28"/>
          <w:szCs w:val="28"/>
          <w:u w:val="single"/>
          <w:lang w:val="en-US" w:eastAsia="zh-CN"/>
        </w:rPr>
        <w:t>2</w:t>
      </w:r>
      <w:r>
        <w:rPr>
          <w:rFonts w:hint="eastAsia" w:ascii="仿宋_GB2312" w:eastAsia="仿宋_GB2312"/>
          <w:sz w:val="28"/>
          <w:szCs w:val="28"/>
          <w:u w:val="single"/>
        </w:rPr>
        <w:t>年</w:t>
      </w:r>
      <w:r>
        <w:rPr>
          <w:rFonts w:hint="eastAsia" w:ascii="仿宋_GB2312" w:eastAsia="仿宋_GB2312"/>
          <w:sz w:val="28"/>
          <w:szCs w:val="28"/>
          <w:u w:val="single"/>
          <w:lang w:eastAsia="zh-CN"/>
        </w:rPr>
        <w:t>，</w:t>
      </w:r>
      <w:r>
        <w:rPr>
          <w:rFonts w:hint="eastAsia" w:ascii="仿宋_GB2312" w:eastAsia="仿宋_GB2312"/>
          <w:sz w:val="28"/>
          <w:szCs w:val="28"/>
          <w:u w:val="single"/>
        </w:rPr>
        <w:t>车位数：204个</w:t>
      </w:r>
      <w:r>
        <w:rPr>
          <w:rFonts w:hint="eastAsia" w:ascii="仿宋_GB2312" w:eastAsia="仿宋_GB2312"/>
          <w:sz w:val="28"/>
          <w:szCs w:val="28"/>
          <w:u w:val="single"/>
          <w:lang w:eastAsia="zh-CN"/>
        </w:rPr>
        <w:t>。</w:t>
      </w:r>
    </w:p>
    <w:p w14:paraId="570840E5">
      <w:pPr>
        <w:spacing w:line="360" w:lineRule="auto"/>
        <w:ind w:firstLine="640" w:firstLineChars="200"/>
        <w:jc w:val="left"/>
        <w:rPr>
          <w:rFonts w:hint="eastAsia" w:ascii="仿宋" w:hAnsi="仿宋" w:eastAsia="仿宋" w:cs="仿宋"/>
          <w:color w:val="000000" w:themeColor="text1"/>
          <w:sz w:val="32"/>
          <w:szCs w:val="32"/>
          <w:lang w:eastAsia="zh-CN"/>
          <w14:textFill>
            <w14:solidFill>
              <w14:schemeClr w14:val="tx1"/>
            </w14:solidFill>
          </w14:textFill>
        </w:rPr>
      </w:pPr>
    </w:p>
    <w:tbl>
      <w:tblPr>
        <w:tblStyle w:val="13"/>
        <w:tblW w:w="8505" w:type="dxa"/>
        <w:tblInd w:w="108" w:type="dxa"/>
        <w:tblLayout w:type="autofit"/>
        <w:tblCellMar>
          <w:top w:w="0" w:type="dxa"/>
          <w:left w:w="108" w:type="dxa"/>
          <w:bottom w:w="0" w:type="dxa"/>
          <w:right w:w="108" w:type="dxa"/>
        </w:tblCellMar>
      </w:tblPr>
      <w:tblGrid>
        <w:gridCol w:w="2835"/>
        <w:gridCol w:w="2616"/>
        <w:gridCol w:w="1495"/>
        <w:gridCol w:w="1559"/>
      </w:tblGrid>
      <w:tr w14:paraId="3D4D929B">
        <w:tblPrEx>
          <w:tblCellMar>
            <w:top w:w="0" w:type="dxa"/>
            <w:left w:w="108" w:type="dxa"/>
            <w:bottom w:w="0" w:type="dxa"/>
            <w:right w:w="108" w:type="dxa"/>
          </w:tblCellMar>
        </w:tblPrEx>
        <w:trPr>
          <w:trHeight w:val="480" w:hRule="atLeast"/>
        </w:trPr>
        <w:tc>
          <w:tcPr>
            <w:tcW w:w="8505" w:type="dxa"/>
            <w:gridSpan w:val="4"/>
            <w:tcBorders>
              <w:top w:val="nil"/>
              <w:left w:val="nil"/>
              <w:bottom w:val="single" w:color="auto" w:sz="4" w:space="0"/>
              <w:right w:val="nil"/>
            </w:tcBorders>
            <w:shd w:val="clear" w:color="auto" w:fill="auto"/>
            <w:noWrap/>
            <w:vAlign w:val="center"/>
          </w:tcPr>
          <w:p w14:paraId="7A3CD247">
            <w:pPr>
              <w:widowControl/>
              <w:jc w:val="center"/>
              <w:rPr>
                <w:rFonts w:ascii="宋体" w:hAnsi="宋体" w:cs="宋体"/>
                <w:b/>
                <w:bCs/>
                <w:color w:val="000000"/>
                <w:kern w:val="0"/>
                <w:sz w:val="28"/>
                <w:szCs w:val="28"/>
              </w:rPr>
            </w:pPr>
            <w:r>
              <w:rPr>
                <w:rFonts w:hint="eastAsia" w:ascii="宋体" w:hAnsi="宋体" w:cs="宋体"/>
                <w:b/>
                <w:bCs/>
                <w:color w:val="000000"/>
                <w:kern w:val="0"/>
                <w:szCs w:val="24"/>
              </w:rPr>
              <w:t>设备及系统明细表</w:t>
            </w:r>
          </w:p>
        </w:tc>
      </w:tr>
      <w:tr w14:paraId="69A8149C">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59BFCF35">
            <w:pPr>
              <w:widowControl/>
              <w:ind w:left="0" w:leftChars="0" w:firstLine="0" w:firstLineChars="0"/>
              <w:jc w:val="center"/>
              <w:rPr>
                <w:rFonts w:ascii="宋体" w:hAnsi="宋体" w:cs="宋体"/>
                <w:b/>
                <w:bCs/>
                <w:color w:val="000000"/>
                <w:kern w:val="0"/>
                <w:szCs w:val="24"/>
              </w:rPr>
            </w:pPr>
            <w:r>
              <w:rPr>
                <w:rFonts w:hint="eastAsia" w:ascii="宋体" w:hAnsi="宋体" w:cs="宋体"/>
                <w:b/>
                <w:bCs/>
                <w:color w:val="000000"/>
                <w:kern w:val="0"/>
                <w:szCs w:val="24"/>
              </w:rPr>
              <w:t>货物名称</w:t>
            </w:r>
          </w:p>
        </w:tc>
        <w:tc>
          <w:tcPr>
            <w:tcW w:w="2616" w:type="dxa"/>
            <w:tcBorders>
              <w:top w:val="nil"/>
              <w:left w:val="nil"/>
              <w:bottom w:val="single" w:color="auto" w:sz="4" w:space="0"/>
              <w:right w:val="single" w:color="auto" w:sz="4" w:space="0"/>
            </w:tcBorders>
            <w:shd w:val="clear" w:color="auto" w:fill="auto"/>
            <w:noWrap/>
            <w:vAlign w:val="center"/>
          </w:tcPr>
          <w:p w14:paraId="7B1551DC">
            <w:pPr>
              <w:widowControl/>
              <w:ind w:left="0" w:leftChars="0" w:firstLine="0" w:firstLineChars="0"/>
              <w:jc w:val="center"/>
              <w:rPr>
                <w:rFonts w:ascii="宋体" w:hAnsi="宋体" w:cs="宋体"/>
                <w:b/>
                <w:bCs/>
                <w:color w:val="000000"/>
                <w:kern w:val="0"/>
                <w:szCs w:val="24"/>
              </w:rPr>
            </w:pPr>
            <w:r>
              <w:rPr>
                <w:rFonts w:hint="eastAsia" w:ascii="宋体" w:hAnsi="宋体" w:cs="宋体"/>
                <w:b/>
                <w:bCs/>
                <w:color w:val="000000"/>
                <w:kern w:val="0"/>
                <w:szCs w:val="24"/>
              </w:rPr>
              <w:t>规格型号</w:t>
            </w:r>
          </w:p>
        </w:tc>
        <w:tc>
          <w:tcPr>
            <w:tcW w:w="1495" w:type="dxa"/>
            <w:tcBorders>
              <w:top w:val="nil"/>
              <w:left w:val="nil"/>
              <w:bottom w:val="single" w:color="auto" w:sz="4" w:space="0"/>
              <w:right w:val="single" w:color="auto" w:sz="4" w:space="0"/>
            </w:tcBorders>
            <w:shd w:val="clear" w:color="auto" w:fill="auto"/>
            <w:noWrap/>
            <w:vAlign w:val="center"/>
          </w:tcPr>
          <w:p w14:paraId="0E5D2AC8">
            <w:pPr>
              <w:widowControl/>
              <w:ind w:left="0" w:leftChars="0" w:firstLine="0" w:firstLineChars="0"/>
              <w:jc w:val="center"/>
              <w:rPr>
                <w:rFonts w:ascii="宋体" w:hAnsi="宋体" w:cs="宋体"/>
                <w:b/>
                <w:bCs/>
                <w:color w:val="000000"/>
                <w:kern w:val="0"/>
                <w:szCs w:val="24"/>
              </w:rPr>
            </w:pPr>
            <w:r>
              <w:rPr>
                <w:rFonts w:hint="eastAsia" w:ascii="宋体" w:hAnsi="宋体" w:cs="宋体"/>
                <w:b/>
                <w:bCs/>
                <w:color w:val="000000"/>
                <w:kern w:val="0"/>
                <w:szCs w:val="24"/>
              </w:rPr>
              <w:t>单位</w:t>
            </w:r>
          </w:p>
        </w:tc>
        <w:tc>
          <w:tcPr>
            <w:tcW w:w="1559" w:type="dxa"/>
            <w:tcBorders>
              <w:top w:val="nil"/>
              <w:left w:val="nil"/>
              <w:bottom w:val="single" w:color="auto" w:sz="4" w:space="0"/>
              <w:right w:val="single" w:color="auto" w:sz="4" w:space="0"/>
            </w:tcBorders>
            <w:shd w:val="clear" w:color="auto" w:fill="auto"/>
            <w:noWrap/>
            <w:vAlign w:val="center"/>
          </w:tcPr>
          <w:p w14:paraId="727EEAA2">
            <w:pPr>
              <w:widowControl/>
              <w:ind w:left="0" w:leftChars="0" w:firstLine="0" w:firstLineChars="0"/>
              <w:jc w:val="center"/>
              <w:rPr>
                <w:rFonts w:ascii="宋体" w:hAnsi="宋体" w:cs="宋体"/>
                <w:b/>
                <w:bCs/>
                <w:color w:val="000000"/>
                <w:kern w:val="0"/>
                <w:szCs w:val="24"/>
              </w:rPr>
            </w:pPr>
            <w:r>
              <w:rPr>
                <w:rFonts w:hint="eastAsia" w:ascii="宋体" w:hAnsi="宋体" w:cs="宋体"/>
                <w:b/>
                <w:bCs/>
                <w:color w:val="000000"/>
                <w:kern w:val="0"/>
                <w:szCs w:val="24"/>
              </w:rPr>
              <w:t>数量</w:t>
            </w:r>
          </w:p>
        </w:tc>
      </w:tr>
      <w:tr w14:paraId="6E5BF518">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30678A24">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升降机</w:t>
            </w:r>
          </w:p>
        </w:tc>
        <w:tc>
          <w:tcPr>
            <w:tcW w:w="2616" w:type="dxa"/>
            <w:tcBorders>
              <w:top w:val="nil"/>
              <w:left w:val="nil"/>
              <w:bottom w:val="single" w:color="auto" w:sz="4" w:space="0"/>
              <w:right w:val="single" w:color="auto" w:sz="4" w:space="0"/>
            </w:tcBorders>
            <w:shd w:val="clear" w:color="auto" w:fill="auto"/>
            <w:noWrap/>
            <w:vAlign w:val="center"/>
          </w:tcPr>
          <w:p w14:paraId="5699B372">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LIFT-FA</w:t>
            </w:r>
          </w:p>
        </w:tc>
        <w:tc>
          <w:tcPr>
            <w:tcW w:w="1495" w:type="dxa"/>
            <w:tcBorders>
              <w:top w:val="nil"/>
              <w:left w:val="nil"/>
              <w:bottom w:val="single" w:color="auto" w:sz="4" w:space="0"/>
              <w:right w:val="single" w:color="auto" w:sz="4" w:space="0"/>
            </w:tcBorders>
            <w:shd w:val="clear" w:color="auto" w:fill="auto"/>
            <w:noWrap/>
            <w:vAlign w:val="center"/>
          </w:tcPr>
          <w:p w14:paraId="4CEAB89F">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套</w:t>
            </w:r>
          </w:p>
        </w:tc>
        <w:tc>
          <w:tcPr>
            <w:tcW w:w="1559" w:type="dxa"/>
            <w:tcBorders>
              <w:top w:val="nil"/>
              <w:left w:val="nil"/>
              <w:bottom w:val="single" w:color="auto" w:sz="4" w:space="0"/>
              <w:right w:val="single" w:color="auto" w:sz="4" w:space="0"/>
            </w:tcBorders>
            <w:shd w:val="clear" w:color="auto" w:fill="auto"/>
            <w:noWrap/>
            <w:vAlign w:val="center"/>
          </w:tcPr>
          <w:p w14:paraId="26330380">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4</w:t>
            </w:r>
          </w:p>
        </w:tc>
      </w:tr>
      <w:tr w14:paraId="3A4CF942">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5642B145">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横移搬运器</w:t>
            </w:r>
          </w:p>
        </w:tc>
        <w:tc>
          <w:tcPr>
            <w:tcW w:w="2616" w:type="dxa"/>
            <w:tcBorders>
              <w:top w:val="nil"/>
              <w:left w:val="nil"/>
              <w:bottom w:val="single" w:color="auto" w:sz="4" w:space="0"/>
              <w:right w:val="single" w:color="auto" w:sz="4" w:space="0"/>
            </w:tcBorders>
            <w:shd w:val="clear" w:color="auto" w:fill="auto"/>
            <w:noWrap/>
            <w:vAlign w:val="center"/>
          </w:tcPr>
          <w:p w14:paraId="35BC5B19">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MID-FA</w:t>
            </w:r>
          </w:p>
        </w:tc>
        <w:tc>
          <w:tcPr>
            <w:tcW w:w="1495" w:type="dxa"/>
            <w:tcBorders>
              <w:top w:val="nil"/>
              <w:left w:val="nil"/>
              <w:bottom w:val="single" w:color="auto" w:sz="4" w:space="0"/>
              <w:right w:val="single" w:color="auto" w:sz="4" w:space="0"/>
            </w:tcBorders>
            <w:shd w:val="clear" w:color="auto" w:fill="auto"/>
            <w:noWrap/>
            <w:vAlign w:val="center"/>
          </w:tcPr>
          <w:p w14:paraId="557CD345">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套</w:t>
            </w:r>
          </w:p>
        </w:tc>
        <w:tc>
          <w:tcPr>
            <w:tcW w:w="1559" w:type="dxa"/>
            <w:tcBorders>
              <w:top w:val="nil"/>
              <w:left w:val="nil"/>
              <w:bottom w:val="single" w:color="auto" w:sz="4" w:space="0"/>
              <w:right w:val="single" w:color="auto" w:sz="4" w:space="0"/>
            </w:tcBorders>
            <w:shd w:val="clear" w:color="auto" w:fill="auto"/>
            <w:noWrap/>
            <w:vAlign w:val="center"/>
          </w:tcPr>
          <w:p w14:paraId="729496BD">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8</w:t>
            </w:r>
          </w:p>
        </w:tc>
      </w:tr>
      <w:tr w14:paraId="64E9B5EB">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608E8C18">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智能搬运器</w:t>
            </w:r>
          </w:p>
        </w:tc>
        <w:tc>
          <w:tcPr>
            <w:tcW w:w="2616" w:type="dxa"/>
            <w:tcBorders>
              <w:top w:val="nil"/>
              <w:left w:val="nil"/>
              <w:bottom w:val="single" w:color="auto" w:sz="4" w:space="0"/>
              <w:right w:val="single" w:color="auto" w:sz="4" w:space="0"/>
            </w:tcBorders>
            <w:shd w:val="clear" w:color="auto" w:fill="auto"/>
            <w:noWrap/>
            <w:vAlign w:val="center"/>
          </w:tcPr>
          <w:p w14:paraId="16F3A838">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ROB-FA</w:t>
            </w:r>
          </w:p>
        </w:tc>
        <w:tc>
          <w:tcPr>
            <w:tcW w:w="1495" w:type="dxa"/>
            <w:tcBorders>
              <w:top w:val="nil"/>
              <w:left w:val="nil"/>
              <w:bottom w:val="single" w:color="auto" w:sz="4" w:space="0"/>
              <w:right w:val="single" w:color="auto" w:sz="4" w:space="0"/>
            </w:tcBorders>
            <w:shd w:val="clear" w:color="auto" w:fill="auto"/>
            <w:noWrap/>
            <w:vAlign w:val="center"/>
          </w:tcPr>
          <w:p w14:paraId="1E64A1C1">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套</w:t>
            </w:r>
          </w:p>
        </w:tc>
        <w:tc>
          <w:tcPr>
            <w:tcW w:w="1559" w:type="dxa"/>
            <w:tcBorders>
              <w:top w:val="nil"/>
              <w:left w:val="nil"/>
              <w:bottom w:val="single" w:color="auto" w:sz="4" w:space="0"/>
              <w:right w:val="single" w:color="auto" w:sz="4" w:space="0"/>
            </w:tcBorders>
            <w:shd w:val="clear" w:color="auto" w:fill="auto"/>
            <w:noWrap/>
            <w:vAlign w:val="center"/>
          </w:tcPr>
          <w:p w14:paraId="6561B17D">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8</w:t>
            </w:r>
          </w:p>
        </w:tc>
      </w:tr>
      <w:tr w14:paraId="4222DF57">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35F8ED20">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出入口系统</w:t>
            </w:r>
          </w:p>
        </w:tc>
        <w:tc>
          <w:tcPr>
            <w:tcW w:w="2616" w:type="dxa"/>
            <w:tcBorders>
              <w:top w:val="nil"/>
              <w:left w:val="nil"/>
              <w:bottom w:val="single" w:color="auto" w:sz="4" w:space="0"/>
              <w:right w:val="single" w:color="auto" w:sz="4" w:space="0"/>
            </w:tcBorders>
            <w:shd w:val="clear" w:color="auto" w:fill="auto"/>
            <w:noWrap/>
            <w:vAlign w:val="center"/>
          </w:tcPr>
          <w:p w14:paraId="42CB44B8">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IN-FA</w:t>
            </w:r>
          </w:p>
        </w:tc>
        <w:tc>
          <w:tcPr>
            <w:tcW w:w="1495" w:type="dxa"/>
            <w:tcBorders>
              <w:top w:val="nil"/>
              <w:left w:val="nil"/>
              <w:bottom w:val="single" w:color="auto" w:sz="4" w:space="0"/>
              <w:right w:val="single" w:color="auto" w:sz="4" w:space="0"/>
            </w:tcBorders>
            <w:shd w:val="clear" w:color="auto" w:fill="auto"/>
            <w:noWrap/>
            <w:vAlign w:val="center"/>
          </w:tcPr>
          <w:p w14:paraId="5F282491">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套</w:t>
            </w:r>
          </w:p>
        </w:tc>
        <w:tc>
          <w:tcPr>
            <w:tcW w:w="1559" w:type="dxa"/>
            <w:tcBorders>
              <w:top w:val="nil"/>
              <w:left w:val="nil"/>
              <w:bottom w:val="single" w:color="auto" w:sz="4" w:space="0"/>
              <w:right w:val="single" w:color="auto" w:sz="4" w:space="0"/>
            </w:tcBorders>
            <w:shd w:val="clear" w:color="auto" w:fill="auto"/>
            <w:noWrap/>
            <w:vAlign w:val="center"/>
          </w:tcPr>
          <w:p w14:paraId="3714720E">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4</w:t>
            </w:r>
          </w:p>
        </w:tc>
      </w:tr>
      <w:tr w14:paraId="52E017E8">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6996B9F2">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中央控制及管理系统</w:t>
            </w:r>
          </w:p>
        </w:tc>
        <w:tc>
          <w:tcPr>
            <w:tcW w:w="2616" w:type="dxa"/>
            <w:tcBorders>
              <w:top w:val="nil"/>
              <w:left w:val="nil"/>
              <w:bottom w:val="single" w:color="auto" w:sz="4" w:space="0"/>
              <w:right w:val="single" w:color="auto" w:sz="4" w:space="0"/>
            </w:tcBorders>
            <w:shd w:val="clear" w:color="auto" w:fill="auto"/>
            <w:noWrap/>
            <w:vAlign w:val="center"/>
          </w:tcPr>
          <w:p w14:paraId="4384B02D">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CRT-FA</w:t>
            </w:r>
          </w:p>
        </w:tc>
        <w:tc>
          <w:tcPr>
            <w:tcW w:w="1495" w:type="dxa"/>
            <w:tcBorders>
              <w:top w:val="nil"/>
              <w:left w:val="nil"/>
              <w:bottom w:val="single" w:color="auto" w:sz="4" w:space="0"/>
              <w:right w:val="single" w:color="auto" w:sz="4" w:space="0"/>
            </w:tcBorders>
            <w:shd w:val="clear" w:color="auto" w:fill="auto"/>
            <w:noWrap/>
            <w:vAlign w:val="center"/>
          </w:tcPr>
          <w:p w14:paraId="111CFA8D">
            <w:pPr>
              <w:widowControl/>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套</w:t>
            </w:r>
          </w:p>
        </w:tc>
        <w:tc>
          <w:tcPr>
            <w:tcW w:w="1559" w:type="dxa"/>
            <w:tcBorders>
              <w:top w:val="nil"/>
              <w:left w:val="nil"/>
              <w:bottom w:val="single" w:color="auto" w:sz="4" w:space="0"/>
              <w:right w:val="single" w:color="auto" w:sz="4" w:space="0"/>
            </w:tcBorders>
            <w:shd w:val="clear" w:color="auto" w:fill="auto"/>
            <w:noWrap/>
            <w:vAlign w:val="center"/>
          </w:tcPr>
          <w:p w14:paraId="10FD176B">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2</w:t>
            </w:r>
          </w:p>
        </w:tc>
      </w:tr>
      <w:tr w14:paraId="5144A3E7">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3AC82E73">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监控系统</w:t>
            </w:r>
          </w:p>
        </w:tc>
        <w:tc>
          <w:tcPr>
            <w:tcW w:w="2616" w:type="dxa"/>
            <w:tcBorders>
              <w:top w:val="nil"/>
              <w:left w:val="nil"/>
              <w:bottom w:val="single" w:color="auto" w:sz="4" w:space="0"/>
              <w:right w:val="single" w:color="auto" w:sz="4" w:space="0"/>
            </w:tcBorders>
            <w:shd w:val="clear" w:color="auto" w:fill="auto"/>
            <w:noWrap/>
            <w:vAlign w:val="center"/>
          </w:tcPr>
          <w:p w14:paraId="4FF2F350">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VEO-FA</w:t>
            </w:r>
          </w:p>
        </w:tc>
        <w:tc>
          <w:tcPr>
            <w:tcW w:w="1495" w:type="dxa"/>
            <w:tcBorders>
              <w:top w:val="nil"/>
              <w:left w:val="nil"/>
              <w:bottom w:val="single" w:color="auto" w:sz="4" w:space="0"/>
              <w:right w:val="single" w:color="auto" w:sz="4" w:space="0"/>
            </w:tcBorders>
            <w:shd w:val="clear" w:color="auto" w:fill="auto"/>
            <w:noWrap/>
            <w:vAlign w:val="center"/>
          </w:tcPr>
          <w:p w14:paraId="043AA33D">
            <w:pPr>
              <w:widowControl/>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套</w:t>
            </w:r>
          </w:p>
        </w:tc>
        <w:tc>
          <w:tcPr>
            <w:tcW w:w="1559" w:type="dxa"/>
            <w:tcBorders>
              <w:top w:val="nil"/>
              <w:left w:val="nil"/>
              <w:bottom w:val="single" w:color="auto" w:sz="4" w:space="0"/>
              <w:right w:val="single" w:color="auto" w:sz="4" w:space="0"/>
            </w:tcBorders>
            <w:shd w:val="clear" w:color="auto" w:fill="auto"/>
            <w:noWrap/>
            <w:vAlign w:val="center"/>
          </w:tcPr>
          <w:p w14:paraId="12E6C723">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2</w:t>
            </w:r>
          </w:p>
        </w:tc>
      </w:tr>
      <w:tr w14:paraId="651D02B3">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54ED7D9F">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安装与调试</w:t>
            </w:r>
          </w:p>
        </w:tc>
        <w:tc>
          <w:tcPr>
            <w:tcW w:w="2616" w:type="dxa"/>
            <w:tcBorders>
              <w:top w:val="nil"/>
              <w:left w:val="nil"/>
              <w:bottom w:val="single" w:color="auto" w:sz="4" w:space="0"/>
              <w:right w:val="single" w:color="auto" w:sz="4" w:space="0"/>
            </w:tcBorders>
            <w:shd w:val="clear" w:color="auto" w:fill="auto"/>
            <w:noWrap/>
            <w:vAlign w:val="center"/>
          </w:tcPr>
          <w:p w14:paraId="64594C8D">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AT-FA</w:t>
            </w:r>
          </w:p>
        </w:tc>
        <w:tc>
          <w:tcPr>
            <w:tcW w:w="1495" w:type="dxa"/>
            <w:tcBorders>
              <w:top w:val="nil"/>
              <w:left w:val="nil"/>
              <w:bottom w:val="single" w:color="auto" w:sz="4" w:space="0"/>
              <w:right w:val="single" w:color="auto" w:sz="4" w:space="0"/>
            </w:tcBorders>
            <w:shd w:val="clear" w:color="auto" w:fill="auto"/>
            <w:noWrap/>
            <w:vAlign w:val="center"/>
          </w:tcPr>
          <w:p w14:paraId="3A79ABA5">
            <w:pPr>
              <w:widowControl/>
              <w:ind w:left="0" w:leftChars="0" w:firstLine="0" w:firstLineChars="0"/>
              <w:jc w:val="center"/>
              <w:rPr>
                <w:rFonts w:hint="eastAsia" w:ascii="仿宋_GB2312" w:hAnsi="仿宋_GB2312" w:eastAsia="仿宋_GB2312" w:cs="仿宋_GB2312"/>
                <w:b w:val="0"/>
                <w:bCs w:val="0"/>
                <w:color w:val="000000"/>
                <w:kern w:val="0"/>
                <w:szCs w:val="24"/>
              </w:rPr>
            </w:pPr>
            <w:r>
              <w:rPr>
                <w:rFonts w:hint="eastAsia" w:ascii="仿宋_GB2312" w:hAnsi="仿宋_GB2312" w:eastAsia="仿宋_GB2312" w:cs="仿宋_GB2312"/>
                <w:b w:val="0"/>
                <w:bCs w:val="0"/>
                <w:color w:val="000000"/>
                <w:kern w:val="0"/>
                <w:szCs w:val="24"/>
              </w:rPr>
              <w:t>项</w:t>
            </w:r>
          </w:p>
        </w:tc>
        <w:tc>
          <w:tcPr>
            <w:tcW w:w="1559" w:type="dxa"/>
            <w:tcBorders>
              <w:top w:val="nil"/>
              <w:left w:val="nil"/>
              <w:bottom w:val="single" w:color="auto" w:sz="4" w:space="0"/>
              <w:right w:val="single" w:color="auto" w:sz="4" w:space="0"/>
            </w:tcBorders>
            <w:shd w:val="clear" w:color="auto" w:fill="auto"/>
            <w:noWrap/>
            <w:vAlign w:val="center"/>
          </w:tcPr>
          <w:p w14:paraId="4A3E6DCD">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1</w:t>
            </w:r>
          </w:p>
        </w:tc>
      </w:tr>
      <w:tr w14:paraId="18FD959F">
        <w:tblPrEx>
          <w:tblCellMar>
            <w:top w:w="0" w:type="dxa"/>
            <w:left w:w="108" w:type="dxa"/>
            <w:bottom w:w="0" w:type="dxa"/>
            <w:right w:w="108" w:type="dxa"/>
          </w:tblCellMar>
        </w:tblPrEx>
        <w:trPr>
          <w:trHeight w:val="450" w:hRule="atLeast"/>
        </w:trPr>
        <w:tc>
          <w:tcPr>
            <w:tcW w:w="2835" w:type="dxa"/>
            <w:tcBorders>
              <w:top w:val="nil"/>
              <w:left w:val="single" w:color="auto" w:sz="4" w:space="0"/>
              <w:bottom w:val="single" w:color="auto" w:sz="4" w:space="0"/>
              <w:right w:val="single" w:color="auto" w:sz="4" w:space="0"/>
            </w:tcBorders>
            <w:shd w:val="clear" w:color="auto" w:fill="auto"/>
            <w:noWrap/>
            <w:vAlign w:val="center"/>
          </w:tcPr>
          <w:p w14:paraId="19F88130">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钢结构</w:t>
            </w:r>
          </w:p>
        </w:tc>
        <w:tc>
          <w:tcPr>
            <w:tcW w:w="2616" w:type="dxa"/>
            <w:tcBorders>
              <w:top w:val="nil"/>
              <w:left w:val="nil"/>
              <w:bottom w:val="single" w:color="auto" w:sz="4" w:space="0"/>
              <w:right w:val="single" w:color="auto" w:sz="4" w:space="0"/>
            </w:tcBorders>
            <w:shd w:val="clear" w:color="auto" w:fill="auto"/>
            <w:noWrap/>
            <w:vAlign w:val="center"/>
          </w:tcPr>
          <w:p w14:paraId="58BD91E5">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GJG-FA</w:t>
            </w:r>
          </w:p>
        </w:tc>
        <w:tc>
          <w:tcPr>
            <w:tcW w:w="1495" w:type="dxa"/>
            <w:tcBorders>
              <w:top w:val="nil"/>
              <w:left w:val="nil"/>
              <w:bottom w:val="single" w:color="auto" w:sz="4" w:space="0"/>
              <w:right w:val="single" w:color="auto" w:sz="4" w:space="0"/>
            </w:tcBorders>
            <w:shd w:val="clear" w:color="auto" w:fill="auto"/>
            <w:noWrap/>
            <w:vAlign w:val="center"/>
          </w:tcPr>
          <w:p w14:paraId="7C2A48A2">
            <w:pPr>
              <w:widowControl/>
              <w:ind w:left="0" w:leftChars="0" w:firstLine="0" w:firstLineChars="0"/>
              <w:jc w:val="center"/>
              <w:rPr>
                <w:rFonts w:hint="eastAsia" w:ascii="仿宋_GB2312" w:hAnsi="仿宋_GB2312" w:eastAsia="仿宋_GB2312" w:cs="仿宋_GB2312"/>
                <w:b w:val="0"/>
                <w:bCs w:val="0"/>
                <w:color w:val="000000"/>
                <w:kern w:val="0"/>
                <w:szCs w:val="24"/>
              </w:rPr>
            </w:pPr>
            <w:r>
              <w:rPr>
                <w:rFonts w:hint="eastAsia" w:ascii="仿宋_GB2312" w:hAnsi="仿宋_GB2312" w:eastAsia="仿宋_GB2312" w:cs="仿宋_GB2312"/>
                <w:b w:val="0"/>
                <w:bCs w:val="0"/>
                <w:color w:val="000000"/>
                <w:kern w:val="0"/>
                <w:szCs w:val="24"/>
              </w:rPr>
              <w:t>项</w:t>
            </w:r>
          </w:p>
        </w:tc>
        <w:tc>
          <w:tcPr>
            <w:tcW w:w="1559" w:type="dxa"/>
            <w:tcBorders>
              <w:top w:val="nil"/>
              <w:left w:val="nil"/>
              <w:bottom w:val="single" w:color="auto" w:sz="4" w:space="0"/>
              <w:right w:val="single" w:color="auto" w:sz="4" w:space="0"/>
            </w:tcBorders>
            <w:shd w:val="clear" w:color="auto" w:fill="auto"/>
            <w:noWrap/>
            <w:vAlign w:val="center"/>
          </w:tcPr>
          <w:p w14:paraId="2B3F5D48">
            <w:pPr>
              <w:widowControl/>
              <w:ind w:left="0" w:leftChars="0" w:firstLine="0" w:firstLineChars="0"/>
              <w:jc w:val="center"/>
              <w:rPr>
                <w:rFonts w:hint="eastAsia" w:ascii="仿宋_GB2312" w:hAnsi="仿宋_GB2312" w:eastAsia="仿宋_GB2312" w:cs="仿宋_GB2312"/>
                <w:color w:val="000000"/>
                <w:kern w:val="0"/>
                <w:szCs w:val="24"/>
              </w:rPr>
            </w:pPr>
            <w:r>
              <w:rPr>
                <w:rFonts w:hint="eastAsia" w:ascii="仿宋_GB2312" w:hAnsi="仿宋_GB2312" w:eastAsia="仿宋_GB2312" w:cs="仿宋_GB2312"/>
                <w:color w:val="000000"/>
                <w:kern w:val="0"/>
                <w:szCs w:val="24"/>
              </w:rPr>
              <w:t>1</w:t>
            </w:r>
          </w:p>
        </w:tc>
      </w:tr>
    </w:tbl>
    <w:p w14:paraId="041776BF">
      <w:pPr>
        <w:spacing w:line="360" w:lineRule="auto"/>
        <w:jc w:val="left"/>
        <w:rPr>
          <w:rFonts w:ascii="宋体" w:hAnsi="宋体"/>
          <w:color w:val="000000" w:themeColor="text1"/>
          <w:szCs w:val="24"/>
          <w14:textFill>
            <w14:solidFill>
              <w14:schemeClr w14:val="tx1"/>
            </w14:solidFill>
          </w14:textFill>
        </w:rPr>
      </w:pPr>
    </w:p>
    <w:tbl>
      <w:tblPr>
        <w:tblStyle w:val="13"/>
        <w:tblW w:w="9533" w:type="dxa"/>
        <w:jc w:val="center"/>
        <w:tblLayout w:type="autofit"/>
        <w:tblCellMar>
          <w:top w:w="0" w:type="dxa"/>
          <w:left w:w="108" w:type="dxa"/>
          <w:bottom w:w="0" w:type="dxa"/>
          <w:right w:w="108" w:type="dxa"/>
        </w:tblCellMar>
      </w:tblPr>
      <w:tblGrid>
        <w:gridCol w:w="831"/>
        <w:gridCol w:w="1562"/>
        <w:gridCol w:w="7140"/>
      </w:tblGrid>
      <w:tr w14:paraId="00AB7E97">
        <w:tblPrEx>
          <w:tblCellMar>
            <w:top w:w="0" w:type="dxa"/>
            <w:left w:w="108" w:type="dxa"/>
            <w:bottom w:w="0" w:type="dxa"/>
            <w:right w:w="108" w:type="dxa"/>
          </w:tblCellMar>
        </w:tblPrEx>
        <w:trPr>
          <w:trHeight w:val="1035" w:hRule="atLeast"/>
          <w:jc w:val="center"/>
        </w:trPr>
        <w:tc>
          <w:tcPr>
            <w:tcW w:w="9533" w:type="dxa"/>
            <w:gridSpan w:val="3"/>
            <w:tcBorders>
              <w:top w:val="nil"/>
              <w:left w:val="nil"/>
              <w:bottom w:val="single" w:color="auto" w:sz="4" w:space="0"/>
              <w:right w:val="nil"/>
            </w:tcBorders>
            <w:shd w:val="clear" w:color="auto" w:fill="auto"/>
            <w:vAlign w:val="center"/>
          </w:tcPr>
          <w:p w14:paraId="2C1A028D">
            <w:pPr>
              <w:widowControl/>
              <w:ind w:left="0" w:leftChars="0" w:firstLine="0" w:firstLineChars="0"/>
              <w:jc w:val="center"/>
              <w:rPr>
                <w:rFonts w:ascii="宋体" w:hAnsi="宋体" w:cs="宋体"/>
                <w:b/>
                <w:bCs/>
                <w:color w:val="000000"/>
                <w:kern w:val="0"/>
                <w:sz w:val="28"/>
                <w:szCs w:val="28"/>
              </w:rPr>
            </w:pPr>
            <w:r>
              <w:rPr>
                <w:rFonts w:hint="eastAsia" w:ascii="宋体" w:hAnsi="宋体" w:cs="宋体"/>
                <w:b/>
                <w:bCs/>
                <w:color w:val="000000"/>
                <w:kern w:val="0"/>
                <w:szCs w:val="24"/>
                <w:lang w:eastAsia="zh-CN"/>
              </w:rPr>
              <w:t>2026年9月10日-202</w:t>
            </w:r>
            <w:r>
              <w:rPr>
                <w:rFonts w:hint="eastAsia" w:ascii="宋体" w:hAnsi="宋体" w:cs="宋体"/>
                <w:b/>
                <w:bCs/>
                <w:color w:val="000000"/>
                <w:kern w:val="0"/>
                <w:szCs w:val="24"/>
                <w:lang w:val="en-US" w:eastAsia="zh-CN"/>
              </w:rPr>
              <w:t>8</w:t>
            </w:r>
            <w:r>
              <w:rPr>
                <w:rFonts w:hint="eastAsia" w:ascii="宋体" w:hAnsi="宋体" w:cs="宋体"/>
                <w:b/>
                <w:bCs/>
                <w:color w:val="000000"/>
                <w:kern w:val="0"/>
                <w:szCs w:val="24"/>
                <w:lang w:eastAsia="zh-CN"/>
              </w:rPr>
              <w:t>年9月9日智能车库维保</w:t>
            </w:r>
            <w:r>
              <w:rPr>
                <w:rFonts w:hint="eastAsia" w:ascii="宋体" w:hAnsi="宋体" w:cs="宋体"/>
                <w:b/>
                <w:bCs/>
                <w:color w:val="000000"/>
                <w:kern w:val="0"/>
                <w:szCs w:val="24"/>
              </w:rPr>
              <w:t>服务项目需求表</w:t>
            </w:r>
          </w:p>
        </w:tc>
      </w:tr>
      <w:tr w14:paraId="74ECB070">
        <w:tblPrEx>
          <w:tblCellMar>
            <w:top w:w="0" w:type="dxa"/>
            <w:left w:w="108" w:type="dxa"/>
            <w:bottom w:w="0" w:type="dxa"/>
            <w:right w:w="108" w:type="dxa"/>
          </w:tblCellMar>
        </w:tblPrEx>
        <w:trPr>
          <w:trHeight w:val="90" w:hRule="atLeast"/>
          <w:jc w:val="center"/>
        </w:trPr>
        <w:tc>
          <w:tcPr>
            <w:tcW w:w="831" w:type="dxa"/>
            <w:tcBorders>
              <w:top w:val="nil"/>
              <w:left w:val="single" w:color="auto" w:sz="4" w:space="0"/>
              <w:bottom w:val="single" w:color="auto" w:sz="4" w:space="0"/>
              <w:right w:val="single" w:color="auto" w:sz="4" w:space="0"/>
            </w:tcBorders>
            <w:shd w:val="clear" w:color="auto" w:fill="auto"/>
            <w:vAlign w:val="center"/>
          </w:tcPr>
          <w:p w14:paraId="65E3AD84">
            <w:pPr>
              <w:widowControl/>
              <w:ind w:left="0" w:leftChars="0" w:firstLine="0" w:firstLineChars="0"/>
              <w:jc w:val="both"/>
              <w:rPr>
                <w:rFonts w:ascii="宋体" w:hAnsi="宋体" w:cs="宋体"/>
                <w:b/>
                <w:bCs/>
                <w:color w:val="000000"/>
                <w:kern w:val="0"/>
                <w:szCs w:val="24"/>
              </w:rPr>
            </w:pPr>
            <w:r>
              <w:rPr>
                <w:rFonts w:hint="eastAsia" w:ascii="宋体" w:hAnsi="宋体" w:cs="宋体"/>
                <w:b/>
                <w:bCs/>
                <w:color w:val="000000"/>
                <w:kern w:val="0"/>
                <w:szCs w:val="24"/>
              </w:rPr>
              <w:t>序号</w:t>
            </w:r>
          </w:p>
        </w:tc>
        <w:tc>
          <w:tcPr>
            <w:tcW w:w="1562" w:type="dxa"/>
            <w:tcBorders>
              <w:top w:val="single" w:color="auto" w:sz="4" w:space="0"/>
              <w:left w:val="nil"/>
              <w:bottom w:val="single" w:color="auto" w:sz="4" w:space="0"/>
              <w:right w:val="single" w:color="auto" w:sz="4" w:space="0"/>
            </w:tcBorders>
            <w:shd w:val="clear" w:color="auto" w:fill="auto"/>
            <w:vAlign w:val="center"/>
          </w:tcPr>
          <w:p w14:paraId="5B46E841">
            <w:pPr>
              <w:widowControl/>
              <w:jc w:val="center"/>
              <w:rPr>
                <w:rFonts w:ascii="宋体" w:hAnsi="宋体" w:cs="宋体"/>
                <w:b/>
                <w:bCs/>
                <w:color w:val="000000"/>
                <w:kern w:val="0"/>
                <w:szCs w:val="24"/>
              </w:rPr>
            </w:pPr>
            <w:r>
              <w:rPr>
                <w:rFonts w:hint="eastAsia" w:ascii="宋体" w:hAnsi="宋体" w:cs="宋体"/>
                <w:b/>
                <w:bCs/>
                <w:color w:val="000000"/>
                <w:kern w:val="0"/>
                <w:szCs w:val="24"/>
              </w:rPr>
              <w:t>项目</w:t>
            </w:r>
          </w:p>
        </w:tc>
        <w:tc>
          <w:tcPr>
            <w:tcW w:w="7140" w:type="dxa"/>
            <w:tcBorders>
              <w:top w:val="nil"/>
              <w:left w:val="nil"/>
              <w:bottom w:val="single" w:color="auto" w:sz="4" w:space="0"/>
              <w:right w:val="single" w:color="auto" w:sz="4" w:space="0"/>
            </w:tcBorders>
            <w:shd w:val="clear" w:color="auto" w:fill="auto"/>
            <w:vAlign w:val="center"/>
          </w:tcPr>
          <w:p w14:paraId="1A8B0324">
            <w:pPr>
              <w:widowControl/>
              <w:jc w:val="center"/>
              <w:rPr>
                <w:rFonts w:ascii="宋体" w:hAnsi="宋体" w:cs="宋体"/>
                <w:b/>
                <w:bCs/>
                <w:color w:val="000000"/>
                <w:kern w:val="0"/>
                <w:szCs w:val="24"/>
              </w:rPr>
            </w:pPr>
            <w:r>
              <w:rPr>
                <w:rFonts w:hint="eastAsia" w:ascii="宋体" w:hAnsi="宋体" w:cs="宋体"/>
                <w:b/>
                <w:bCs/>
                <w:color w:val="000000"/>
                <w:kern w:val="0"/>
                <w:szCs w:val="24"/>
              </w:rPr>
              <w:t>内容</w:t>
            </w:r>
          </w:p>
        </w:tc>
      </w:tr>
      <w:tr w14:paraId="04A82554">
        <w:tblPrEx>
          <w:tblCellMar>
            <w:top w:w="0" w:type="dxa"/>
            <w:left w:w="108" w:type="dxa"/>
            <w:bottom w:w="0" w:type="dxa"/>
            <w:right w:w="108" w:type="dxa"/>
          </w:tblCellMar>
        </w:tblPrEx>
        <w:trPr>
          <w:trHeight w:val="1365" w:hRule="atLeast"/>
          <w:jc w:val="center"/>
        </w:trPr>
        <w:tc>
          <w:tcPr>
            <w:tcW w:w="831" w:type="dxa"/>
            <w:tcBorders>
              <w:top w:val="nil"/>
              <w:left w:val="single" w:color="auto" w:sz="4" w:space="0"/>
              <w:bottom w:val="single" w:color="auto" w:sz="4" w:space="0"/>
              <w:right w:val="single" w:color="auto" w:sz="4" w:space="0"/>
            </w:tcBorders>
            <w:shd w:val="clear" w:color="auto" w:fill="auto"/>
            <w:vAlign w:val="center"/>
          </w:tcPr>
          <w:p w14:paraId="7D781B90">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1562" w:type="dxa"/>
            <w:tcBorders>
              <w:top w:val="nil"/>
              <w:left w:val="single" w:color="auto" w:sz="4" w:space="0"/>
              <w:bottom w:val="single" w:color="auto" w:sz="4" w:space="0"/>
              <w:right w:val="single" w:color="auto" w:sz="4" w:space="0"/>
            </w:tcBorders>
            <w:shd w:val="clear" w:color="auto" w:fill="auto"/>
            <w:vAlign w:val="center"/>
          </w:tcPr>
          <w:p w14:paraId="0959B494">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传感器检查与维护</w:t>
            </w:r>
          </w:p>
        </w:tc>
        <w:tc>
          <w:tcPr>
            <w:tcW w:w="7140" w:type="dxa"/>
            <w:tcBorders>
              <w:top w:val="nil"/>
              <w:left w:val="nil"/>
              <w:bottom w:val="single" w:color="auto" w:sz="4" w:space="0"/>
              <w:right w:val="single" w:color="auto" w:sz="4" w:space="0"/>
            </w:tcBorders>
            <w:shd w:val="clear" w:color="auto" w:fill="auto"/>
            <w:vAlign w:val="center"/>
          </w:tcPr>
          <w:p w14:paraId="08C3A3D1">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定期检查所有传感器（包括车位检测、重量检测、升降检测等）的工作状态，进行必要的维护和清洁，根据实际情况进行更换或修理，确保其正常工作。</w:t>
            </w:r>
          </w:p>
        </w:tc>
      </w:tr>
      <w:tr w14:paraId="2EC70EA4">
        <w:tblPrEx>
          <w:tblCellMar>
            <w:top w:w="0" w:type="dxa"/>
            <w:left w:w="108" w:type="dxa"/>
            <w:bottom w:w="0" w:type="dxa"/>
            <w:right w:w="108" w:type="dxa"/>
          </w:tblCellMar>
        </w:tblPrEx>
        <w:trPr>
          <w:trHeight w:val="826" w:hRule="atLeast"/>
          <w:jc w:val="center"/>
        </w:trPr>
        <w:tc>
          <w:tcPr>
            <w:tcW w:w="831" w:type="dxa"/>
            <w:tcBorders>
              <w:top w:val="nil"/>
              <w:left w:val="single" w:color="auto" w:sz="4" w:space="0"/>
              <w:bottom w:val="single" w:color="auto" w:sz="4" w:space="0"/>
              <w:right w:val="single" w:color="auto" w:sz="4" w:space="0"/>
            </w:tcBorders>
            <w:shd w:val="clear" w:color="auto" w:fill="auto"/>
            <w:vAlign w:val="center"/>
          </w:tcPr>
          <w:p w14:paraId="624F91C8">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2</w:t>
            </w:r>
          </w:p>
        </w:tc>
        <w:tc>
          <w:tcPr>
            <w:tcW w:w="1562" w:type="dxa"/>
            <w:tcBorders>
              <w:top w:val="nil"/>
              <w:left w:val="single" w:color="auto" w:sz="4" w:space="0"/>
              <w:bottom w:val="single" w:color="auto" w:sz="4" w:space="0"/>
              <w:right w:val="single" w:color="auto" w:sz="4" w:space="0"/>
            </w:tcBorders>
            <w:shd w:val="clear" w:color="auto" w:fill="auto"/>
            <w:vAlign w:val="center"/>
          </w:tcPr>
          <w:p w14:paraId="6E532D5E">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升降系统检查与维护</w:t>
            </w:r>
          </w:p>
        </w:tc>
        <w:tc>
          <w:tcPr>
            <w:tcW w:w="7140" w:type="dxa"/>
            <w:tcBorders>
              <w:top w:val="nil"/>
              <w:left w:val="nil"/>
              <w:bottom w:val="single" w:color="auto" w:sz="4" w:space="0"/>
              <w:right w:val="single" w:color="auto" w:sz="4" w:space="0"/>
            </w:tcBorders>
            <w:shd w:val="clear" w:color="auto" w:fill="auto"/>
            <w:vAlign w:val="center"/>
          </w:tcPr>
          <w:p w14:paraId="3960F2FE">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定期检查升降系统的电机、控制器、链条等部件的工作状态，进行必要的维护和润滑，及时更换损坏的部件，确保其正常工作。</w:t>
            </w:r>
          </w:p>
        </w:tc>
      </w:tr>
      <w:tr w14:paraId="4805DE2A">
        <w:tblPrEx>
          <w:tblCellMar>
            <w:top w:w="0" w:type="dxa"/>
            <w:left w:w="108" w:type="dxa"/>
            <w:bottom w:w="0" w:type="dxa"/>
            <w:right w:w="108" w:type="dxa"/>
          </w:tblCellMar>
        </w:tblPrEx>
        <w:trPr>
          <w:trHeight w:val="908"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5466AB61">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3</w:t>
            </w:r>
          </w:p>
        </w:tc>
        <w:tc>
          <w:tcPr>
            <w:tcW w:w="1562" w:type="dxa"/>
            <w:tcBorders>
              <w:top w:val="single" w:color="auto" w:sz="4" w:space="0"/>
              <w:left w:val="single" w:color="auto" w:sz="4" w:space="0"/>
              <w:bottom w:val="single" w:color="auto" w:sz="4" w:space="0"/>
              <w:right w:val="single" w:color="auto" w:sz="4" w:space="0"/>
            </w:tcBorders>
            <w:shd w:val="clear" w:color="auto" w:fill="auto"/>
            <w:vAlign w:val="center"/>
          </w:tcPr>
          <w:p w14:paraId="7CBB7DFD">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电气系统检查与维护</w:t>
            </w:r>
          </w:p>
        </w:tc>
        <w:tc>
          <w:tcPr>
            <w:tcW w:w="7140" w:type="dxa"/>
            <w:tcBorders>
              <w:top w:val="single" w:color="auto" w:sz="4" w:space="0"/>
              <w:left w:val="single" w:color="auto" w:sz="4" w:space="0"/>
              <w:bottom w:val="single" w:color="auto" w:sz="4" w:space="0"/>
              <w:right w:val="single" w:color="auto" w:sz="4" w:space="0"/>
            </w:tcBorders>
            <w:shd w:val="clear" w:color="auto" w:fill="auto"/>
            <w:vAlign w:val="center"/>
          </w:tcPr>
          <w:p w14:paraId="40A5053A">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定期检查电气系统的电缆、电线、开关等部件的工作状态，进行必要的维护和修理，及时更换损坏的部件，确保其正常工作。</w:t>
            </w:r>
          </w:p>
        </w:tc>
      </w:tr>
      <w:tr w14:paraId="509298AC">
        <w:tblPrEx>
          <w:tblCellMar>
            <w:top w:w="0" w:type="dxa"/>
            <w:left w:w="108" w:type="dxa"/>
            <w:bottom w:w="0" w:type="dxa"/>
            <w:right w:w="108" w:type="dxa"/>
          </w:tblCellMar>
        </w:tblPrEx>
        <w:trPr>
          <w:trHeight w:val="992"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270D1180">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4</w:t>
            </w:r>
          </w:p>
        </w:tc>
        <w:tc>
          <w:tcPr>
            <w:tcW w:w="1562" w:type="dxa"/>
            <w:tcBorders>
              <w:top w:val="single" w:color="auto" w:sz="4" w:space="0"/>
              <w:left w:val="single" w:color="auto" w:sz="4" w:space="0"/>
              <w:bottom w:val="single" w:color="auto" w:sz="4" w:space="0"/>
              <w:right w:val="single" w:color="auto" w:sz="4" w:space="0"/>
            </w:tcBorders>
            <w:shd w:val="clear" w:color="auto" w:fill="auto"/>
            <w:vAlign w:val="center"/>
          </w:tcPr>
          <w:p w14:paraId="2B0B0ECE">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安全装置检查与更新</w:t>
            </w:r>
          </w:p>
        </w:tc>
        <w:tc>
          <w:tcPr>
            <w:tcW w:w="7140" w:type="dxa"/>
            <w:tcBorders>
              <w:top w:val="single" w:color="auto" w:sz="4" w:space="0"/>
              <w:left w:val="single" w:color="auto" w:sz="4" w:space="0"/>
              <w:bottom w:val="single" w:color="auto" w:sz="4" w:space="0"/>
              <w:right w:val="single" w:color="auto" w:sz="4" w:space="0"/>
            </w:tcBorders>
            <w:shd w:val="clear" w:color="auto" w:fill="auto"/>
            <w:vAlign w:val="center"/>
          </w:tcPr>
          <w:p w14:paraId="5E0D0836">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定期检查安全装置（如安全门、锁等）的工作状态，及时更新损坏或失效的安全装置，确保其有效性。</w:t>
            </w:r>
          </w:p>
        </w:tc>
      </w:tr>
      <w:tr w14:paraId="668A6B35">
        <w:tblPrEx>
          <w:tblCellMar>
            <w:top w:w="0" w:type="dxa"/>
            <w:left w:w="108" w:type="dxa"/>
            <w:bottom w:w="0" w:type="dxa"/>
            <w:right w:w="108" w:type="dxa"/>
          </w:tblCellMar>
        </w:tblPrEx>
        <w:trPr>
          <w:trHeight w:val="735" w:hRule="atLeast"/>
          <w:jc w:val="center"/>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51FBF72D">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5</w:t>
            </w:r>
          </w:p>
        </w:tc>
        <w:tc>
          <w:tcPr>
            <w:tcW w:w="1562" w:type="dxa"/>
            <w:tcBorders>
              <w:top w:val="single" w:color="auto" w:sz="4" w:space="0"/>
              <w:left w:val="single" w:color="auto" w:sz="4" w:space="0"/>
              <w:bottom w:val="single" w:color="auto" w:sz="4" w:space="0"/>
              <w:right w:val="single" w:color="auto" w:sz="4" w:space="0"/>
            </w:tcBorders>
            <w:shd w:val="clear" w:color="auto" w:fill="auto"/>
            <w:vAlign w:val="center"/>
          </w:tcPr>
          <w:p w14:paraId="73B00B65">
            <w:pPr>
              <w:widowControl/>
              <w:spacing w:line="240" w:lineRule="auto"/>
              <w:ind w:left="0" w:leftChars="0"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环境卫生与通风检查</w:t>
            </w:r>
          </w:p>
        </w:tc>
        <w:tc>
          <w:tcPr>
            <w:tcW w:w="7140" w:type="dxa"/>
            <w:tcBorders>
              <w:top w:val="single" w:color="auto" w:sz="4" w:space="0"/>
              <w:left w:val="single" w:color="auto" w:sz="4" w:space="0"/>
              <w:bottom w:val="single" w:color="auto" w:sz="4" w:space="0"/>
              <w:right w:val="single" w:color="auto" w:sz="4" w:space="0"/>
            </w:tcBorders>
            <w:shd w:val="clear" w:color="auto" w:fill="auto"/>
            <w:vAlign w:val="center"/>
          </w:tcPr>
          <w:p w14:paraId="5E259A83">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检查车库的环境卫生与通风情况，进行必要的清理和调整，确保车库内部环境的健康与安全。对通风系统进行检查与维护，保证良好的通风效果。低优先级按季度进行定期清理和维护，保持良好的环境卫生和通风效果。针对特殊天气情况做好应急处理准备。</w:t>
            </w:r>
          </w:p>
        </w:tc>
      </w:tr>
      <w:tr w14:paraId="4BB93605">
        <w:tblPrEx>
          <w:tblCellMar>
            <w:top w:w="0" w:type="dxa"/>
            <w:left w:w="108" w:type="dxa"/>
            <w:bottom w:w="0" w:type="dxa"/>
            <w:right w:w="108" w:type="dxa"/>
          </w:tblCellMar>
        </w:tblPrEx>
        <w:trPr>
          <w:trHeight w:val="735" w:hRule="atLeast"/>
          <w:jc w:val="center"/>
        </w:trPr>
        <w:tc>
          <w:tcPr>
            <w:tcW w:w="95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9DEF6E">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服务内容：</w:t>
            </w:r>
          </w:p>
          <w:p w14:paraId="3F583A54">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1</w:t>
            </w:r>
            <w:r>
              <w:rPr>
                <w:rFonts w:hint="eastAsia" w:ascii="仿宋_GB2312" w:hAnsi="仿宋_GB2312" w:eastAsia="仿宋_GB2312" w:cs="仿宋_GB2312"/>
                <w:color w:val="000000"/>
                <w:kern w:val="0"/>
                <w:sz w:val="24"/>
                <w:szCs w:val="24"/>
                <w:lang w:val="en-US" w:eastAsia="zh-CN" w:bidi="ar"/>
              </w:rPr>
              <w:t>.</w:t>
            </w:r>
            <w:r>
              <w:rPr>
                <w:rFonts w:hint="eastAsia" w:ascii="仿宋_GB2312" w:hAnsi="仿宋_GB2312" w:eastAsia="仿宋_GB2312" w:cs="仿宋_GB2312"/>
                <w:color w:val="000000"/>
                <w:kern w:val="0"/>
                <w:sz w:val="24"/>
                <w:szCs w:val="24"/>
                <w:lang w:eastAsia="zh-CN" w:bidi="ar"/>
              </w:rPr>
              <w:t>乙方以包工方式提供服务，市场单价低于1000元的配件免费提供；市场单价超过1000元的配件由甲方承担采购费用，乙方免费提供更换人工服务。</w:t>
            </w:r>
          </w:p>
          <w:p w14:paraId="5C20AF4F">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2.提供7×24小时不间断维保服务，接到报修后，维保人员须在20分钟内抵达现场处置故障。</w:t>
            </w:r>
          </w:p>
          <w:p w14:paraId="6DBB4C6B">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val="en-US" w:eastAsia="zh-CN" w:bidi="ar"/>
              </w:rPr>
              <w:t>3.每日安排2名专业技术人员驻场，每日在岗时长为8小时。</w:t>
            </w:r>
          </w:p>
          <w:p w14:paraId="40B08CF1">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4.严格执行分级维保制度：每日开展全库区巡检，每周进行保养，每月完成系统性检修。每次维保完成后出具相应维保报告，经甲方签字后留存。</w:t>
            </w:r>
          </w:p>
          <w:p w14:paraId="0DFE0B85">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5.每季度开展整机专项深度检修，每半年实施设备深度检修。</w:t>
            </w:r>
          </w:p>
          <w:p w14:paraId="44AD913D">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6.全权负责车库特种设备的定期检验申报及维保资料备案工作，并承担相关备案资料的编制。</w:t>
            </w:r>
          </w:p>
          <w:p w14:paraId="6676B1C5">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7.定期为甲方车库管理人员提供设备操作及基础故障识别的专项培训。</w:t>
            </w:r>
          </w:p>
          <w:p w14:paraId="69042439">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8.所有维保及抢修服务标准均符合国家及机械式立体车库行业现行规范要求。</w:t>
            </w:r>
          </w:p>
          <w:p w14:paraId="55B143DA">
            <w:pPr>
              <w:widowControl/>
              <w:spacing w:line="240" w:lineRule="auto"/>
              <w:ind w:left="0" w:leftChars="0" w:firstLine="0" w:firstLineChars="0"/>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eastAsia="仿宋_GB2312" w:cs="仿宋_GB2312"/>
                <w:color w:val="000000"/>
                <w:kern w:val="0"/>
                <w:sz w:val="24"/>
                <w:szCs w:val="24"/>
                <w:lang w:eastAsia="zh-CN" w:bidi="ar"/>
              </w:rPr>
              <w:t>9.完整建立故障工单、维保台账、备件更换及人员考勤的全套档案，作为月度量化考核的原始依据。</w:t>
            </w:r>
          </w:p>
        </w:tc>
      </w:tr>
    </w:tbl>
    <w:p w14:paraId="4C7D69AD">
      <w:pPr>
        <w:ind w:firstLine="480"/>
        <w:rPr>
          <w:rFonts w:hint="eastAsia" w:ascii="仿宋_GB2312" w:hAnsi="仿宋_GB2312" w:eastAsia="仿宋_GB2312" w:cs="仿宋_GB2312"/>
          <w:sz w:val="24"/>
          <w:szCs w:val="22"/>
        </w:rPr>
      </w:pPr>
    </w:p>
    <w:p w14:paraId="262E9EEE">
      <w:pPr>
        <w:pStyle w:val="2"/>
        <w:ind w:firstLine="720"/>
        <w:rPr>
          <w:rFonts w:hint="eastAsia"/>
        </w:rPr>
      </w:pPr>
      <w:bookmarkStart w:id="2" w:name="_Toc161591784"/>
      <w:r>
        <w:rPr>
          <w:rFonts w:hint="eastAsia"/>
        </w:rPr>
        <w:t>第三章</w:t>
      </w:r>
      <w:r>
        <w:t xml:space="preserve"> </w:t>
      </w:r>
      <w:r>
        <w:rPr>
          <w:rFonts w:hint="eastAsia"/>
        </w:rPr>
        <w:t>响应单位须知</w:t>
      </w:r>
      <w:bookmarkEnd w:id="2"/>
    </w:p>
    <w:p w14:paraId="6593C6EF">
      <w:pPr>
        <w:ind w:firstLine="480"/>
        <w:rPr>
          <w:rFonts w:hint="eastAsia"/>
        </w:rPr>
      </w:pPr>
    </w:p>
    <w:p w14:paraId="71439AAF">
      <w:pPr>
        <w:rPr>
          <w:rFonts w:hint="eastAsia" w:ascii="黑体" w:hAnsi="黑体" w:eastAsia="黑体"/>
          <w:sz w:val="28"/>
          <w:szCs w:val="28"/>
        </w:rPr>
      </w:pPr>
      <w:r>
        <w:rPr>
          <w:rFonts w:hint="eastAsia" w:ascii="黑体" w:hAnsi="黑体" w:eastAsia="黑体"/>
          <w:sz w:val="28"/>
          <w:szCs w:val="28"/>
        </w:rPr>
        <w:t>一、采购文件的组成</w:t>
      </w:r>
    </w:p>
    <w:p w14:paraId="49921FF0">
      <w:pPr>
        <w:rPr>
          <w:rFonts w:hint="eastAsia" w:ascii="仿宋_GB2312" w:eastAsia="仿宋_GB2312"/>
          <w:sz w:val="28"/>
          <w:szCs w:val="28"/>
        </w:rPr>
      </w:pPr>
      <w:r>
        <w:rPr>
          <w:rFonts w:hint="eastAsia" w:ascii="仿宋_GB2312" w:eastAsia="仿宋_GB2312"/>
          <w:sz w:val="28"/>
          <w:szCs w:val="28"/>
        </w:rPr>
        <w:t>本文件及依法对本文件所作的书面澄清或修改的内容均为采购文件的组成部分。响应单位应认真检查采购文件的内容是否齐全，如有遗漏，应及时向采购人提出，否则责任自负。</w:t>
      </w:r>
    </w:p>
    <w:p w14:paraId="05E0177A">
      <w:pPr>
        <w:rPr>
          <w:rFonts w:hint="eastAsia" w:ascii="黑体" w:hAnsi="黑体" w:eastAsia="黑体"/>
          <w:sz w:val="28"/>
          <w:szCs w:val="28"/>
        </w:rPr>
      </w:pPr>
      <w:r>
        <w:rPr>
          <w:rFonts w:hint="eastAsia" w:ascii="黑体" w:hAnsi="黑体" w:eastAsia="黑体"/>
          <w:sz w:val="28"/>
          <w:szCs w:val="28"/>
        </w:rPr>
        <w:t>二、</w:t>
      </w:r>
      <w:r>
        <w:rPr>
          <w:rFonts w:ascii="黑体" w:hAnsi="黑体" w:eastAsia="黑体"/>
          <w:sz w:val="28"/>
          <w:szCs w:val="28"/>
        </w:rPr>
        <w:t>采购文件的澄清、修改</w:t>
      </w:r>
    </w:p>
    <w:p w14:paraId="00F15C45">
      <w:pPr>
        <w:rPr>
          <w:rFonts w:hint="eastAsia" w:ascii="仿宋_GB2312" w:eastAsia="仿宋_GB2312"/>
          <w:sz w:val="28"/>
          <w:szCs w:val="28"/>
        </w:rPr>
      </w:pPr>
      <w:r>
        <w:rPr>
          <w:rFonts w:ascii="仿宋_GB2312" w:eastAsia="仿宋_GB2312"/>
          <w:sz w:val="28"/>
          <w:szCs w:val="28"/>
        </w:rPr>
        <w:t>1.响应单位对采购文件如有疑问，或认为有必要与采购人进行澄清时，可用书面或邮件的形式告知项目联系人</w:t>
      </w:r>
      <w:r>
        <w:rPr>
          <w:rFonts w:hint="eastAsia" w:ascii="仿宋_GB2312" w:hAnsi="仿宋" w:eastAsia="仿宋_GB2312"/>
          <w:color w:val="000000" w:themeColor="text1"/>
          <w:sz w:val="28"/>
          <w:szCs w:val="28"/>
          <w14:textFill>
            <w14:solidFill>
              <w14:schemeClr w14:val="tx1"/>
            </w14:solidFill>
          </w14:textFill>
        </w:rPr>
        <w:t>，但告知时间必须在公告规定的时间内</w:t>
      </w:r>
      <w:r>
        <w:rPr>
          <w:rFonts w:ascii="仿宋_GB2312" w:eastAsia="仿宋_GB2312"/>
          <w:sz w:val="28"/>
          <w:szCs w:val="28"/>
        </w:rPr>
        <w:t>。采购人应及时作出答复，如有必要时可将答复内容包括提出的问题（但不标明问题的来源），分发给已经取得同一采购文件的响应单位。</w:t>
      </w:r>
    </w:p>
    <w:p w14:paraId="466D7857">
      <w:pPr>
        <w:rPr>
          <w:rFonts w:hint="eastAsia" w:ascii="仿宋_GB2312" w:eastAsia="仿宋_GB2312"/>
          <w:sz w:val="28"/>
          <w:szCs w:val="28"/>
        </w:rPr>
      </w:pPr>
      <w:r>
        <w:rPr>
          <w:rFonts w:ascii="仿宋_GB2312" w:eastAsia="仿宋_GB2312"/>
          <w:sz w:val="28"/>
          <w:szCs w:val="28"/>
        </w:rPr>
        <w:t>2.本采购文件的解释权归采购人。响应单位对采购人提供的采购文件所做出的推论、解释和结论，采购人概不负责。响应单位未成交的原因，采购人没有义务解释。</w:t>
      </w:r>
    </w:p>
    <w:p w14:paraId="70AE8110">
      <w:pPr>
        <w:rPr>
          <w:rFonts w:hint="eastAsia" w:ascii="仿宋_GB2312" w:eastAsia="仿宋_GB2312"/>
          <w:sz w:val="28"/>
          <w:szCs w:val="28"/>
        </w:rPr>
      </w:pPr>
      <w:r>
        <w:rPr>
          <w:rFonts w:ascii="仿宋_GB2312" w:eastAsia="仿宋_GB2312"/>
          <w:sz w:val="28"/>
          <w:szCs w:val="28"/>
        </w:rPr>
        <w:t>3.采购人有权对已发出的采购文件进行必要的澄清、修改或撤销。采购文件的澄清、修改文件是采购文件的组成部分。</w:t>
      </w:r>
    </w:p>
    <w:p w14:paraId="719A37D9">
      <w:pPr>
        <w:rPr>
          <w:rFonts w:hint="eastAsia" w:ascii="黑体" w:hAnsi="黑体" w:eastAsia="黑体"/>
          <w:sz w:val="28"/>
          <w:szCs w:val="28"/>
        </w:rPr>
      </w:pPr>
      <w:r>
        <w:rPr>
          <w:rFonts w:hint="eastAsia" w:ascii="黑体" w:hAnsi="黑体" w:eastAsia="黑体"/>
          <w:sz w:val="28"/>
          <w:szCs w:val="28"/>
        </w:rPr>
        <w:t xml:space="preserve">三、响应文件的组成： </w:t>
      </w:r>
    </w:p>
    <w:p w14:paraId="445D758B">
      <w:pPr>
        <w:snapToGrid w:val="0"/>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1.响应文件目录表（可参考附件1）；</w:t>
      </w:r>
    </w:p>
    <w:p w14:paraId="50733D1F">
      <w:pPr>
        <w:snapToGrid w:val="0"/>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2.响应函（可参考附件2）；</w:t>
      </w:r>
    </w:p>
    <w:p w14:paraId="6FFCB01E">
      <w:pPr>
        <w:snapToGrid w:val="0"/>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 xml:space="preserve">3.法定代表人身份证明书与身份证复印件，如法定代表人作为响应单位代表的，则需同时提供法定代表人授权委托书与委托代理人身份证复印件（可参考附件3、附件4）； </w:t>
      </w:r>
    </w:p>
    <w:p w14:paraId="4BFD5147">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4.报价单（可参考附件5）；</w:t>
      </w:r>
    </w:p>
    <w:p w14:paraId="5023FDAA">
      <w:pPr>
        <w:rPr>
          <w:rFonts w:hint="eastAsia" w:ascii="仿宋_GB2312" w:eastAsia="仿宋_GB2312"/>
          <w:sz w:val="28"/>
          <w:szCs w:val="28"/>
        </w:rPr>
      </w:pPr>
      <w:r>
        <w:rPr>
          <w:rFonts w:hint="eastAsia" w:ascii="仿宋_GB2312" w:eastAsia="仿宋_GB2312"/>
          <w:sz w:val="28"/>
          <w:szCs w:val="28"/>
        </w:rPr>
        <w:t>5.技术响应文件；</w:t>
      </w:r>
    </w:p>
    <w:p w14:paraId="0FC739AE">
      <w:pPr>
        <w:rPr>
          <w:rFonts w:hint="eastAsia" w:ascii="仿宋_GB2312" w:eastAsia="仿宋_GB2312"/>
          <w:sz w:val="28"/>
          <w:szCs w:val="28"/>
        </w:rPr>
      </w:pPr>
      <w:r>
        <w:rPr>
          <w:rFonts w:hint="eastAsia" w:ascii="仿宋_GB2312" w:eastAsia="仿宋_GB2312"/>
          <w:sz w:val="28"/>
          <w:szCs w:val="28"/>
        </w:rPr>
        <w:t>6.商务响应文件；</w:t>
      </w:r>
    </w:p>
    <w:p w14:paraId="68FC704C">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7.响应单位营业执照（如营业执照无体现经营范围，需提交深圳市市场监督管理局许可经营信息截图）；</w:t>
      </w:r>
    </w:p>
    <w:p w14:paraId="376CF445">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8.需提供股东、董事、监事、法定代表人、高级管理人员及经办人名单以及公司注册地址清单（可参考附件6）；</w:t>
      </w:r>
    </w:p>
    <w:p w14:paraId="69E3BAAE">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9.“信用中国”网站(www.creditchina.gov.cn）的“失信被执行人”、“重大税收违法失信主体”、“政府采购严重违法失信行为记录名单”查询结果网页截图，并加盖投标人公章；</w:t>
      </w:r>
    </w:p>
    <w:p w14:paraId="1599E7C0">
      <w:pPr>
        <w:rPr>
          <w:rFonts w:hint="eastAsia"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lang w:val="en-US" w:eastAsia="zh-CN"/>
          <w14:textFill>
            <w14:solidFill>
              <w14:schemeClr w14:val="tx1"/>
            </w14:solidFill>
          </w14:textFill>
        </w:rPr>
        <w:t>10</w:t>
      </w:r>
      <w:r>
        <w:rPr>
          <w:rFonts w:hint="eastAsia" w:ascii="仿宋_GB2312" w:hAnsi="仿宋" w:eastAsia="仿宋_GB2312"/>
          <w:color w:val="000000" w:themeColor="text1"/>
          <w:sz w:val="28"/>
          <w:szCs w:val="28"/>
          <w:highlight w:val="none"/>
          <w14:textFill>
            <w14:solidFill>
              <w14:schemeClr w14:val="tx1"/>
            </w14:solidFill>
          </w14:textFill>
        </w:rPr>
        <w:t>.供应商基本情况表（可参考附件7）；</w:t>
      </w:r>
    </w:p>
    <w:p w14:paraId="4E531DFA">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lang w:val="en-US" w:eastAsia="zh-CN"/>
          <w14:textFill>
            <w14:solidFill>
              <w14:schemeClr w14:val="tx1"/>
            </w14:solidFill>
          </w14:textFill>
        </w:rPr>
        <w:t>11</w:t>
      </w:r>
      <w:r>
        <w:rPr>
          <w:rFonts w:hint="eastAsia" w:ascii="仿宋_GB2312" w:hAnsi="仿宋" w:eastAsia="仿宋_GB2312"/>
          <w:color w:val="000000" w:themeColor="text1"/>
          <w:sz w:val="28"/>
          <w:szCs w:val="28"/>
          <w14:textFill>
            <w14:solidFill>
              <w14:schemeClr w14:val="tx1"/>
            </w14:solidFill>
          </w14:textFill>
        </w:rPr>
        <w:t>.供应商认为需要提供的其他资料。</w:t>
      </w:r>
    </w:p>
    <w:p w14:paraId="3ED7FD2A">
      <w:pPr>
        <w:rPr>
          <w:rFonts w:hint="eastAsia" w:ascii="黑体" w:hAnsi="黑体" w:eastAsia="黑体"/>
          <w:sz w:val="28"/>
          <w:szCs w:val="28"/>
        </w:rPr>
      </w:pPr>
      <w:r>
        <w:rPr>
          <w:rFonts w:hint="eastAsia" w:ascii="黑体" w:hAnsi="黑体" w:eastAsia="黑体"/>
          <w:sz w:val="28"/>
          <w:szCs w:val="28"/>
        </w:rPr>
        <w:t>四、响应文件的制作</w:t>
      </w:r>
    </w:p>
    <w:p w14:paraId="7F1804F4">
      <w:pPr>
        <w:rPr>
          <w:rFonts w:hint="eastAsia" w:ascii="仿宋_GB2312" w:eastAsia="仿宋_GB2312"/>
          <w:sz w:val="28"/>
          <w:szCs w:val="28"/>
        </w:rPr>
      </w:pPr>
      <w:r>
        <w:rPr>
          <w:rFonts w:hint="eastAsia" w:ascii="仿宋_GB2312" w:eastAsia="仿宋_GB2312"/>
          <w:sz w:val="28"/>
          <w:szCs w:val="28"/>
        </w:rPr>
        <w:t>1.响应文件需进行密封，准备一份正本</w:t>
      </w:r>
      <w:r>
        <w:rPr>
          <w:rFonts w:hint="eastAsia" w:ascii="仿宋_GB2312" w:eastAsia="仿宋_GB2312"/>
          <w:sz w:val="28"/>
          <w:szCs w:val="28"/>
          <w:lang w:val="en-US" w:eastAsia="zh-CN"/>
        </w:rPr>
        <w:t>一</w:t>
      </w:r>
      <w:r>
        <w:rPr>
          <w:rFonts w:hint="eastAsia" w:ascii="仿宋_GB2312" w:eastAsia="仿宋_GB2312"/>
          <w:sz w:val="28"/>
          <w:szCs w:val="28"/>
        </w:rPr>
        <w:t>份副本，装订成册，制订目录并编上页码，同时注明项目名称、响应单位名称等必要信息。响应文件正本应加盖公章（多页加盖骑缝章）。未按要求密封的，将予以拒绝，作无效响应处理。</w:t>
      </w:r>
    </w:p>
    <w:p w14:paraId="5782F688">
      <w:pPr>
        <w:rPr>
          <w:rFonts w:hint="eastAsia" w:ascii="仿宋_GB2312" w:eastAsia="仿宋_GB2312"/>
          <w:sz w:val="28"/>
          <w:szCs w:val="28"/>
        </w:rPr>
      </w:pPr>
      <w:r>
        <w:rPr>
          <w:rFonts w:hint="eastAsia" w:ascii="仿宋_GB2312" w:eastAsia="仿宋_GB2312"/>
          <w:sz w:val="28"/>
          <w:szCs w:val="28"/>
        </w:rPr>
        <w:t>2.招标人拒绝接收在规定的响应截止时间后递交的任何响应文件。</w:t>
      </w:r>
    </w:p>
    <w:p w14:paraId="56389CD7">
      <w:pPr>
        <w:rPr>
          <w:rFonts w:hint="eastAsia" w:ascii="仿宋_GB2312" w:eastAsia="仿宋_GB2312"/>
          <w:sz w:val="28"/>
          <w:szCs w:val="28"/>
        </w:rPr>
      </w:pPr>
      <w:r>
        <w:rPr>
          <w:rFonts w:hint="eastAsia" w:ascii="仿宋_GB2312" w:eastAsia="仿宋_GB2312"/>
          <w:sz w:val="28"/>
          <w:szCs w:val="28"/>
        </w:rPr>
        <w:t>3.不论响应人成交与否，响应文件均不退还。</w:t>
      </w:r>
    </w:p>
    <w:p w14:paraId="54E5D15A">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4.报价单位为人民币元（保留小数点后两位）。</w:t>
      </w:r>
    </w:p>
    <w:p w14:paraId="0F9D3D18">
      <w:pPr>
        <w:rPr>
          <w:rFonts w:hint="eastAsia" w:ascii="黑体" w:hAnsi="黑体" w:eastAsia="黑体"/>
          <w:sz w:val="28"/>
          <w:szCs w:val="28"/>
        </w:rPr>
      </w:pPr>
      <w:r>
        <w:rPr>
          <w:rFonts w:hint="eastAsia" w:ascii="黑体" w:hAnsi="黑体" w:eastAsia="黑体"/>
          <w:sz w:val="28"/>
          <w:szCs w:val="28"/>
        </w:rPr>
        <w:t>五、不要求递交响应保证金、不设履约保证金</w:t>
      </w:r>
    </w:p>
    <w:p w14:paraId="1E3D7B91">
      <w:pPr>
        <w:rPr>
          <w:rFonts w:hint="eastAsia" w:ascii="仿宋_GB2312" w:hAnsi="黑体" w:eastAsia="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六、响应文件有限期</w:t>
      </w:r>
      <w:r>
        <w:rPr>
          <w:rFonts w:hint="eastAsia" w:ascii="仿宋_GB2312" w:hAnsi="黑体" w:eastAsia="仿宋_GB2312"/>
          <w:color w:val="000000" w:themeColor="text1"/>
          <w:sz w:val="28"/>
          <w:szCs w:val="28"/>
          <w14:textFill>
            <w14:solidFill>
              <w14:schemeClr w14:val="tx1"/>
            </w14:solidFill>
          </w14:textFill>
        </w:rPr>
        <w:t>：</w:t>
      </w:r>
      <w:r>
        <w:rPr>
          <w:rFonts w:hint="eastAsia" w:ascii="仿宋_GB2312" w:hAnsi="仿宋" w:eastAsia="仿宋_GB2312"/>
          <w:color w:val="000000" w:themeColor="text1"/>
          <w:sz w:val="28"/>
          <w:szCs w:val="28"/>
          <w14:textFill>
            <w14:solidFill>
              <w14:schemeClr w14:val="tx1"/>
            </w14:solidFill>
          </w14:textFill>
        </w:rPr>
        <w:t>自递交响应文件截止之日起60个日历日。出现特殊情况需要延长响应文件有效期的，采购人以书面形式通知所有供应商延长响应文件有效期，供应商应予以书面答复。供应商拒绝延长的，其响应文件在原有效期届满后失效。</w:t>
      </w:r>
    </w:p>
    <w:p w14:paraId="37BA25D8">
      <w:pPr>
        <w:rPr>
          <w:rFonts w:hint="eastAsia" w:ascii="黑体" w:hAnsi="黑体" w:eastAsia="黑体" w:cs="黑体"/>
          <w:color w:val="000000" w:themeColor="text1"/>
          <w:sz w:val="28"/>
          <w:szCs w:val="28"/>
          <w14:textFill>
            <w14:solidFill>
              <w14:schemeClr w14:val="tx1"/>
            </w14:solidFill>
          </w14:textFill>
        </w:rPr>
      </w:pPr>
      <w:bookmarkStart w:id="3" w:name="_Hlk161591584"/>
      <w:r>
        <w:rPr>
          <w:rFonts w:hint="eastAsia" w:ascii="黑体" w:hAnsi="黑体" w:eastAsia="黑体" w:cs="黑体"/>
          <w:color w:val="000000" w:themeColor="text1"/>
          <w:sz w:val="28"/>
          <w:szCs w:val="28"/>
          <w14:textFill>
            <w14:solidFill>
              <w14:schemeClr w14:val="tx1"/>
            </w14:solidFill>
          </w14:textFill>
        </w:rPr>
        <w:t>七、响应单位一次性报出不可更改的价格，不可撤回。</w:t>
      </w:r>
    </w:p>
    <w:p w14:paraId="7B4AA3D6">
      <w:pPr>
        <w:rPr>
          <w:rFonts w:hint="eastAsia" w:ascii="仿宋_GB2312" w:hAnsi="仿宋" w:eastAsia="仿宋_GB2312"/>
          <w:color w:val="000000" w:themeColor="text1"/>
          <w:sz w:val="28"/>
          <w:szCs w:val="28"/>
          <w14:textFill>
            <w14:solidFill>
              <w14:schemeClr w14:val="tx1"/>
            </w14:solidFill>
          </w14:textFill>
        </w:rPr>
      </w:pPr>
      <w:r>
        <w:rPr>
          <w:rFonts w:hint="eastAsia" w:ascii="仿宋_GB2312" w:hAnsi="黑体" w:eastAsia="仿宋_GB2312"/>
          <w:color w:val="000000" w:themeColor="text1"/>
          <w:sz w:val="28"/>
          <w:szCs w:val="28"/>
          <w14:textFill>
            <w14:solidFill>
              <w14:schemeClr w14:val="tx1"/>
            </w14:solidFill>
          </w14:textFill>
        </w:rPr>
        <w:t>供应商作废响应文件的，其负责人或授权的代理人应在修作废响应文件的通知上签字并加盖公章。采购人收到供应商作废响应文件通知并检查确认无误后，留存其作废通知，退回其已经递交的响应文件。</w:t>
      </w:r>
    </w:p>
    <w:bookmarkEnd w:id="3"/>
    <w:p w14:paraId="797C36CF">
      <w:pPr>
        <w:rPr>
          <w:rFonts w:hint="eastAsia" w:ascii="黑体" w:hAnsi="黑体" w:eastAsia="黑体"/>
          <w:sz w:val="28"/>
          <w:szCs w:val="28"/>
        </w:rPr>
      </w:pPr>
      <w:r>
        <w:rPr>
          <w:rFonts w:hint="eastAsia" w:ascii="黑体" w:hAnsi="黑体" w:eastAsia="黑体"/>
          <w:sz w:val="28"/>
          <w:szCs w:val="28"/>
        </w:rPr>
        <w:t>八、评审</w:t>
      </w:r>
    </w:p>
    <w:p w14:paraId="2D4F9CF6">
      <w:pPr>
        <w:rPr>
          <w:rFonts w:hint="eastAsia" w:ascii="仿宋_GB2312" w:eastAsia="仿宋_GB2312"/>
          <w:sz w:val="28"/>
          <w:szCs w:val="28"/>
        </w:rPr>
      </w:pPr>
      <w:r>
        <w:rPr>
          <w:rFonts w:hint="eastAsia" w:ascii="仿宋_GB2312" w:eastAsia="仿宋_GB2312"/>
          <w:sz w:val="28"/>
          <w:szCs w:val="28"/>
        </w:rPr>
        <w:t>评审方法为综合评分法，综合评分得分最高且资格符合的响应单位为成交响应单位。</w:t>
      </w:r>
    </w:p>
    <w:p w14:paraId="62454349">
      <w:pPr>
        <w:rPr>
          <w:rFonts w:hint="eastAsia" w:ascii="仿宋_GB2312" w:eastAsia="仿宋_GB2312"/>
          <w:sz w:val="28"/>
          <w:szCs w:val="28"/>
        </w:rPr>
      </w:pPr>
      <w:bookmarkStart w:id="4" w:name="_Hlk161593920"/>
      <w:r>
        <w:rPr>
          <w:rFonts w:hint="eastAsia" w:ascii="仿宋_GB2312" w:eastAsia="仿宋_GB2312"/>
          <w:sz w:val="28"/>
          <w:szCs w:val="28"/>
        </w:rPr>
        <w:t>由招标人负责组建询价小组负责项目评审工作。</w:t>
      </w:r>
    </w:p>
    <w:bookmarkEnd w:id="4"/>
    <w:p w14:paraId="16333105">
      <w:pPr>
        <w:rPr>
          <w:rFonts w:hint="eastAsia" w:ascii="仿宋_GB2312" w:eastAsia="仿宋_GB2312"/>
          <w:sz w:val="28"/>
          <w:szCs w:val="28"/>
        </w:rPr>
      </w:pPr>
      <w:r>
        <w:rPr>
          <w:rFonts w:hint="eastAsia" w:ascii="仿宋_GB2312" w:eastAsia="仿宋_GB2312"/>
          <w:sz w:val="28"/>
          <w:szCs w:val="28"/>
        </w:rPr>
        <w:t>（一）资格性检查。依据法律法规和采购文件的规定，对响应文件中的资格证明进行审查；</w:t>
      </w:r>
    </w:p>
    <w:p w14:paraId="44EC5D11">
      <w:pPr>
        <w:rPr>
          <w:rFonts w:hint="eastAsia" w:ascii="仿宋_GB2312" w:eastAsia="仿宋_GB2312"/>
          <w:sz w:val="28"/>
          <w:szCs w:val="28"/>
        </w:rPr>
      </w:pPr>
      <w:r>
        <w:rPr>
          <w:rFonts w:hint="eastAsia" w:ascii="仿宋_GB2312" w:eastAsia="仿宋_GB2312"/>
          <w:sz w:val="28"/>
          <w:szCs w:val="28"/>
        </w:rPr>
        <w:t>（二）符合性检查。依据采购文件的规定，从响应文件的有效性、完整性进行审查。</w:t>
      </w:r>
    </w:p>
    <w:p w14:paraId="3ABB1D42">
      <w:pPr>
        <w:rPr>
          <w:rFonts w:hint="eastAsia" w:ascii="仿宋_GB2312" w:eastAsia="仿宋_GB2312"/>
          <w:sz w:val="28"/>
          <w:szCs w:val="28"/>
        </w:rPr>
      </w:pPr>
    </w:p>
    <w:p w14:paraId="375E3CC7">
      <w:pPr>
        <w:rPr>
          <w:rFonts w:hint="eastAsia" w:ascii="仿宋_GB2312" w:eastAsia="仿宋_GB2312"/>
          <w:sz w:val="28"/>
          <w:szCs w:val="28"/>
        </w:rPr>
      </w:pPr>
      <w:r>
        <w:rPr>
          <w:rFonts w:hint="eastAsia" w:ascii="仿宋_GB2312" w:eastAsia="仿宋_GB2312"/>
          <w:sz w:val="28"/>
          <w:szCs w:val="28"/>
        </w:rPr>
        <w:t>询价小组按本章规定的量化因素和分值进行打分，并计算出综合得分。按本章商务部分、技术部分和价格部分评分标准规定的评审因素和分值计算出得分A、B、C，评分分值计算保留小数点后两位，小数点后第三位“四舍五入”，响应单位综合得分=A+B+C。</w:t>
      </w:r>
    </w:p>
    <w:p w14:paraId="1B3606A0">
      <w:pPr>
        <w:rPr>
          <w:rFonts w:hint="eastAsia" w:ascii="仿宋_GB2312" w:eastAsia="仿宋_GB2312"/>
          <w:sz w:val="28"/>
          <w:szCs w:val="28"/>
        </w:rPr>
      </w:pPr>
      <w:r>
        <w:rPr>
          <w:rFonts w:hint="eastAsia" w:ascii="仿宋_GB2312" w:eastAsia="仿宋_GB2312"/>
          <w:sz w:val="28"/>
          <w:szCs w:val="28"/>
        </w:rPr>
        <w:t>《价格部分、技术部分、商务部分权重表和综合得分汇总》</w:t>
      </w:r>
    </w:p>
    <w:tbl>
      <w:tblPr>
        <w:tblStyle w:val="1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8"/>
        <w:gridCol w:w="2085"/>
        <w:gridCol w:w="2115"/>
        <w:gridCol w:w="2080"/>
      </w:tblGrid>
      <w:tr w14:paraId="1744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248" w:type="dxa"/>
            <w:shd w:val="clear" w:color="auto" w:fill="auto"/>
            <w:vAlign w:val="center"/>
          </w:tcPr>
          <w:p w14:paraId="02A8EA84">
            <w:pPr>
              <w:rPr>
                <w:rFonts w:hint="eastAsia" w:ascii="仿宋_GB2312" w:eastAsia="仿宋_GB2312"/>
                <w:sz w:val="24"/>
                <w:szCs w:val="24"/>
              </w:rPr>
            </w:pPr>
            <w:bookmarkStart w:id="5" w:name="_Hlk65568724"/>
            <w:r>
              <w:rPr>
                <w:rFonts w:hint="eastAsia" w:ascii="仿宋_GB2312" w:eastAsia="仿宋_GB2312"/>
                <w:sz w:val="24"/>
                <w:szCs w:val="24"/>
              </w:rPr>
              <w:t>权重名称</w:t>
            </w:r>
          </w:p>
        </w:tc>
        <w:tc>
          <w:tcPr>
            <w:tcW w:w="2085" w:type="dxa"/>
            <w:shd w:val="clear" w:color="auto" w:fill="auto"/>
            <w:vAlign w:val="center"/>
          </w:tcPr>
          <w:p w14:paraId="25397AE2">
            <w:pPr>
              <w:rPr>
                <w:rFonts w:hint="eastAsia" w:ascii="仿宋_GB2312" w:eastAsia="仿宋_GB2312"/>
                <w:sz w:val="24"/>
                <w:szCs w:val="24"/>
              </w:rPr>
            </w:pPr>
            <w:r>
              <w:rPr>
                <w:rFonts w:hint="eastAsia" w:ascii="仿宋_GB2312" w:eastAsia="仿宋_GB2312"/>
                <w:sz w:val="24"/>
                <w:szCs w:val="24"/>
              </w:rPr>
              <w:t>价格权重</w:t>
            </w:r>
          </w:p>
        </w:tc>
        <w:tc>
          <w:tcPr>
            <w:tcW w:w="2115" w:type="dxa"/>
            <w:shd w:val="clear" w:color="auto" w:fill="auto"/>
            <w:vAlign w:val="center"/>
          </w:tcPr>
          <w:p w14:paraId="292BFB09">
            <w:pPr>
              <w:rPr>
                <w:rFonts w:hint="eastAsia" w:ascii="仿宋_GB2312" w:eastAsia="仿宋_GB2312"/>
                <w:sz w:val="24"/>
                <w:szCs w:val="24"/>
              </w:rPr>
            </w:pPr>
            <w:r>
              <w:rPr>
                <w:rFonts w:hint="eastAsia" w:ascii="仿宋_GB2312" w:eastAsia="仿宋_GB2312"/>
                <w:sz w:val="24"/>
                <w:szCs w:val="24"/>
              </w:rPr>
              <w:t>技术权重</w:t>
            </w:r>
          </w:p>
        </w:tc>
        <w:tc>
          <w:tcPr>
            <w:tcW w:w="2080" w:type="dxa"/>
            <w:shd w:val="clear" w:color="auto" w:fill="auto"/>
            <w:vAlign w:val="center"/>
          </w:tcPr>
          <w:p w14:paraId="174A44F7">
            <w:pPr>
              <w:rPr>
                <w:rFonts w:hint="eastAsia" w:ascii="仿宋_GB2312" w:eastAsia="仿宋_GB2312"/>
                <w:sz w:val="24"/>
                <w:szCs w:val="24"/>
              </w:rPr>
            </w:pPr>
            <w:r>
              <w:rPr>
                <w:rFonts w:hint="eastAsia" w:ascii="仿宋_GB2312" w:eastAsia="仿宋_GB2312"/>
                <w:sz w:val="24"/>
                <w:szCs w:val="24"/>
              </w:rPr>
              <w:t>商务权重</w:t>
            </w:r>
          </w:p>
        </w:tc>
      </w:tr>
      <w:tr w14:paraId="23D1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248" w:type="dxa"/>
            <w:shd w:val="clear" w:color="auto" w:fill="auto"/>
            <w:vAlign w:val="center"/>
          </w:tcPr>
          <w:p w14:paraId="378F5964">
            <w:pPr>
              <w:rPr>
                <w:rFonts w:hint="eastAsia" w:ascii="仿宋_GB2312" w:eastAsia="仿宋_GB2312"/>
                <w:sz w:val="24"/>
                <w:szCs w:val="24"/>
              </w:rPr>
            </w:pPr>
            <w:r>
              <w:rPr>
                <w:rFonts w:hint="eastAsia" w:ascii="仿宋_GB2312" w:eastAsia="仿宋_GB2312"/>
                <w:sz w:val="24"/>
                <w:szCs w:val="24"/>
              </w:rPr>
              <w:t>权重</w:t>
            </w:r>
          </w:p>
        </w:tc>
        <w:tc>
          <w:tcPr>
            <w:tcW w:w="2085" w:type="dxa"/>
            <w:shd w:val="clear" w:color="auto" w:fill="auto"/>
            <w:vAlign w:val="center"/>
          </w:tcPr>
          <w:p w14:paraId="11652746">
            <w:pPr>
              <w:rPr>
                <w:rFonts w:hint="eastAsia" w:ascii="仿宋_GB2312" w:eastAsia="仿宋_GB2312"/>
                <w:sz w:val="24"/>
                <w:szCs w:val="24"/>
              </w:rPr>
            </w:pPr>
            <w:r>
              <w:rPr>
                <w:rFonts w:hint="eastAsia" w:ascii="仿宋_GB2312" w:eastAsia="仿宋_GB2312"/>
                <w:sz w:val="24"/>
                <w:szCs w:val="24"/>
                <w:lang w:val="en-US" w:eastAsia="zh-CN"/>
              </w:rPr>
              <w:t>30</w:t>
            </w:r>
            <w:r>
              <w:rPr>
                <w:rFonts w:hint="eastAsia" w:ascii="仿宋_GB2312" w:eastAsia="仿宋_GB2312"/>
                <w:sz w:val="24"/>
                <w:szCs w:val="24"/>
              </w:rPr>
              <w:t>%</w:t>
            </w:r>
          </w:p>
        </w:tc>
        <w:tc>
          <w:tcPr>
            <w:tcW w:w="2115" w:type="dxa"/>
            <w:shd w:val="clear" w:color="auto" w:fill="auto"/>
            <w:vAlign w:val="center"/>
          </w:tcPr>
          <w:p w14:paraId="70A06904">
            <w:pPr>
              <w:rPr>
                <w:rFonts w:hint="eastAsia" w:ascii="仿宋_GB2312" w:eastAsia="仿宋_GB2312"/>
                <w:sz w:val="24"/>
                <w:szCs w:val="24"/>
              </w:rPr>
            </w:pPr>
            <w:r>
              <w:rPr>
                <w:rFonts w:hint="eastAsia" w:ascii="仿宋_GB2312" w:eastAsia="仿宋_GB2312"/>
                <w:sz w:val="24"/>
                <w:szCs w:val="24"/>
                <w:lang w:val="en-US" w:eastAsia="zh-CN"/>
              </w:rPr>
              <w:t>50</w:t>
            </w:r>
            <w:r>
              <w:rPr>
                <w:rFonts w:hint="eastAsia" w:ascii="仿宋_GB2312" w:eastAsia="仿宋_GB2312"/>
                <w:sz w:val="24"/>
                <w:szCs w:val="24"/>
              </w:rPr>
              <w:t>%</w:t>
            </w:r>
          </w:p>
        </w:tc>
        <w:tc>
          <w:tcPr>
            <w:tcW w:w="2080" w:type="dxa"/>
            <w:shd w:val="clear" w:color="auto" w:fill="auto"/>
            <w:vAlign w:val="center"/>
          </w:tcPr>
          <w:p w14:paraId="54E9AE52">
            <w:pPr>
              <w:rPr>
                <w:rFonts w:hint="eastAsia" w:ascii="仿宋_GB2312" w:eastAsia="仿宋_GB2312"/>
                <w:sz w:val="24"/>
                <w:szCs w:val="24"/>
              </w:rPr>
            </w:pPr>
            <w:r>
              <w:rPr>
                <w:rFonts w:hint="eastAsia" w:ascii="仿宋_GB2312" w:eastAsia="仿宋_GB2312"/>
                <w:sz w:val="24"/>
                <w:szCs w:val="24"/>
                <w:lang w:val="en-US" w:eastAsia="zh-CN"/>
              </w:rPr>
              <w:t>20</w:t>
            </w:r>
            <w:r>
              <w:rPr>
                <w:rFonts w:hint="eastAsia" w:ascii="仿宋_GB2312" w:eastAsia="仿宋_GB2312"/>
                <w:sz w:val="24"/>
                <w:szCs w:val="24"/>
              </w:rPr>
              <w:t>%</w:t>
            </w:r>
          </w:p>
        </w:tc>
      </w:tr>
      <w:tr w14:paraId="4791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248" w:type="dxa"/>
            <w:shd w:val="clear" w:color="auto" w:fill="auto"/>
            <w:vAlign w:val="center"/>
          </w:tcPr>
          <w:p w14:paraId="3281FA7D">
            <w:pPr>
              <w:rPr>
                <w:rFonts w:hint="eastAsia" w:ascii="仿宋_GB2312" w:eastAsia="仿宋_GB2312"/>
                <w:sz w:val="24"/>
                <w:szCs w:val="24"/>
              </w:rPr>
            </w:pPr>
            <w:r>
              <w:rPr>
                <w:rFonts w:hint="eastAsia" w:ascii="仿宋_GB2312" w:eastAsia="仿宋_GB2312"/>
                <w:sz w:val="24"/>
                <w:szCs w:val="24"/>
              </w:rPr>
              <w:t>满分</w:t>
            </w:r>
          </w:p>
        </w:tc>
        <w:tc>
          <w:tcPr>
            <w:tcW w:w="2085" w:type="dxa"/>
            <w:shd w:val="clear" w:color="auto" w:fill="auto"/>
            <w:vAlign w:val="center"/>
          </w:tcPr>
          <w:p w14:paraId="3F735292">
            <w:pPr>
              <w:rPr>
                <w:rFonts w:hint="eastAsia" w:ascii="仿宋_GB2312" w:eastAsia="仿宋_GB2312"/>
                <w:sz w:val="24"/>
                <w:szCs w:val="24"/>
              </w:rPr>
            </w:pPr>
            <w:r>
              <w:rPr>
                <w:rFonts w:hint="eastAsia" w:ascii="仿宋_GB2312" w:eastAsia="仿宋_GB2312"/>
                <w:sz w:val="24"/>
                <w:szCs w:val="24"/>
                <w:lang w:val="en-US" w:eastAsia="zh-CN"/>
              </w:rPr>
              <w:t>30</w:t>
            </w:r>
            <w:r>
              <w:rPr>
                <w:rFonts w:hint="eastAsia" w:ascii="仿宋_GB2312" w:eastAsia="仿宋_GB2312"/>
                <w:sz w:val="24"/>
                <w:szCs w:val="24"/>
              </w:rPr>
              <w:t>分</w:t>
            </w:r>
          </w:p>
        </w:tc>
        <w:tc>
          <w:tcPr>
            <w:tcW w:w="2115" w:type="dxa"/>
            <w:shd w:val="clear" w:color="auto" w:fill="auto"/>
            <w:vAlign w:val="center"/>
          </w:tcPr>
          <w:p w14:paraId="4633779E">
            <w:pPr>
              <w:rPr>
                <w:rFonts w:hint="eastAsia" w:ascii="仿宋_GB2312" w:eastAsia="仿宋_GB2312"/>
                <w:sz w:val="24"/>
                <w:szCs w:val="24"/>
              </w:rPr>
            </w:pPr>
            <w:r>
              <w:rPr>
                <w:rFonts w:hint="eastAsia" w:ascii="仿宋_GB2312" w:eastAsia="仿宋_GB2312"/>
                <w:sz w:val="24"/>
                <w:szCs w:val="24"/>
                <w:lang w:val="en-US" w:eastAsia="zh-CN"/>
              </w:rPr>
              <w:t>50</w:t>
            </w:r>
            <w:r>
              <w:rPr>
                <w:rFonts w:hint="eastAsia" w:ascii="仿宋_GB2312" w:eastAsia="仿宋_GB2312"/>
                <w:sz w:val="24"/>
                <w:szCs w:val="24"/>
              </w:rPr>
              <w:t>分</w:t>
            </w:r>
          </w:p>
        </w:tc>
        <w:tc>
          <w:tcPr>
            <w:tcW w:w="2080" w:type="dxa"/>
            <w:shd w:val="clear" w:color="auto" w:fill="auto"/>
            <w:vAlign w:val="center"/>
          </w:tcPr>
          <w:p w14:paraId="3F80B44D">
            <w:pPr>
              <w:rPr>
                <w:rFonts w:hint="eastAsia" w:ascii="仿宋_GB2312" w:eastAsia="仿宋_GB2312"/>
                <w:sz w:val="24"/>
                <w:szCs w:val="24"/>
              </w:rPr>
            </w:pPr>
            <w:r>
              <w:rPr>
                <w:rFonts w:hint="eastAsia" w:ascii="仿宋_GB2312" w:eastAsia="仿宋_GB2312"/>
                <w:sz w:val="24"/>
                <w:szCs w:val="24"/>
                <w:lang w:val="en-US" w:eastAsia="zh-CN"/>
              </w:rPr>
              <w:t>20</w:t>
            </w:r>
            <w:r>
              <w:rPr>
                <w:rFonts w:hint="eastAsia" w:ascii="仿宋_GB2312" w:eastAsia="仿宋_GB2312"/>
                <w:sz w:val="24"/>
                <w:szCs w:val="24"/>
              </w:rPr>
              <w:t>分</w:t>
            </w:r>
          </w:p>
        </w:tc>
      </w:tr>
      <w:tr w14:paraId="13DC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48" w:type="dxa"/>
            <w:shd w:val="clear" w:color="auto" w:fill="auto"/>
            <w:vAlign w:val="center"/>
          </w:tcPr>
          <w:p w14:paraId="3EAE281B">
            <w:pPr>
              <w:ind w:left="0" w:leftChars="0" w:firstLine="0" w:firstLineChars="0"/>
              <w:rPr>
                <w:rFonts w:hint="eastAsia" w:ascii="仿宋_GB2312" w:eastAsia="仿宋_GB2312"/>
                <w:sz w:val="24"/>
                <w:szCs w:val="24"/>
              </w:rPr>
            </w:pPr>
            <w:r>
              <w:rPr>
                <w:rFonts w:hint="eastAsia" w:ascii="仿宋_GB2312" w:eastAsia="仿宋_GB2312"/>
                <w:sz w:val="24"/>
                <w:szCs w:val="24"/>
              </w:rPr>
              <w:t>响应单位综合得分</w:t>
            </w:r>
          </w:p>
        </w:tc>
        <w:tc>
          <w:tcPr>
            <w:tcW w:w="6280" w:type="dxa"/>
            <w:gridSpan w:val="3"/>
            <w:shd w:val="clear" w:color="auto" w:fill="auto"/>
            <w:vAlign w:val="center"/>
          </w:tcPr>
          <w:p w14:paraId="3A456914">
            <w:pPr>
              <w:rPr>
                <w:rFonts w:hint="eastAsia" w:ascii="仿宋_GB2312" w:eastAsia="仿宋_GB2312"/>
                <w:sz w:val="24"/>
                <w:szCs w:val="24"/>
              </w:rPr>
            </w:pPr>
            <w:r>
              <w:rPr>
                <w:rFonts w:hint="eastAsia" w:ascii="仿宋_GB2312" w:eastAsia="仿宋_GB2312"/>
                <w:sz w:val="24"/>
                <w:szCs w:val="24"/>
              </w:rPr>
              <w:t>价格得分+技术得分+商务得分</w:t>
            </w:r>
          </w:p>
        </w:tc>
      </w:tr>
      <w:bookmarkEnd w:id="5"/>
    </w:tbl>
    <w:p w14:paraId="1E5DF6E2">
      <w:pPr>
        <w:rPr>
          <w:rFonts w:hint="eastAsia" w:ascii="仿宋_GB2312" w:eastAsia="仿宋_GB2312"/>
          <w:sz w:val="28"/>
          <w:szCs w:val="28"/>
        </w:rPr>
      </w:pPr>
      <w:r>
        <w:rPr>
          <w:rFonts w:hint="eastAsia" w:ascii="仿宋_GB2312" w:eastAsia="仿宋_GB2312"/>
          <w:sz w:val="28"/>
          <w:szCs w:val="28"/>
        </w:rPr>
        <w:t>询价小组按得分由高到低的顺序形成对响应单位进行排序的评审报告，得分靠前的响应单位推荐为成交候选人。得分相同的，按单项得分从高到低进行排序，单项得分考虑因素排序为：</w:t>
      </w:r>
      <w:r>
        <w:rPr>
          <w:rFonts w:hint="eastAsia" w:ascii="仿宋_GB2312" w:eastAsia="仿宋_GB2312"/>
          <w:sz w:val="28"/>
          <w:szCs w:val="28"/>
          <w:lang w:eastAsia="zh-CN"/>
        </w:rPr>
        <w:t>分级维保完整实施方案</w:t>
      </w:r>
      <w:r>
        <w:rPr>
          <w:rFonts w:hint="eastAsia" w:ascii="仿宋_GB2312" w:eastAsia="仿宋_GB2312"/>
          <w:sz w:val="28"/>
          <w:szCs w:val="28"/>
        </w:rPr>
        <w:t>、</w:t>
      </w:r>
      <w:r>
        <w:rPr>
          <w:rFonts w:hint="eastAsia" w:ascii="仿宋_GB2312" w:eastAsia="仿宋_GB2312"/>
          <w:sz w:val="28"/>
          <w:szCs w:val="28"/>
          <w:lang w:val="en-US" w:eastAsia="zh-CN"/>
        </w:rPr>
        <w:t>故障响应与修复时效</w:t>
      </w:r>
      <w:r>
        <w:rPr>
          <w:rFonts w:hint="eastAsia" w:ascii="仿宋_GB2312" w:eastAsia="仿宋_GB2312"/>
          <w:sz w:val="28"/>
          <w:szCs w:val="28"/>
        </w:rPr>
        <w:t>、</w:t>
      </w:r>
      <w:r>
        <w:rPr>
          <w:rFonts w:hint="eastAsia" w:ascii="仿宋_GB2312" w:eastAsia="仿宋_GB2312"/>
          <w:sz w:val="28"/>
          <w:szCs w:val="28"/>
          <w:lang w:val="en-US" w:eastAsia="zh-CN"/>
        </w:rPr>
        <w:t>月度存取车故障率管控目标</w:t>
      </w:r>
      <w:r>
        <w:rPr>
          <w:rFonts w:hint="eastAsia" w:ascii="仿宋_GB2312" w:eastAsia="仿宋_GB2312"/>
          <w:sz w:val="28"/>
          <w:szCs w:val="28"/>
        </w:rPr>
        <w:t>、</w:t>
      </w:r>
      <w:r>
        <w:rPr>
          <w:rFonts w:hint="eastAsia" w:ascii="仿宋_GB2312" w:eastAsia="仿宋_GB2312"/>
          <w:sz w:val="28"/>
          <w:szCs w:val="28"/>
          <w:lang w:val="en-US" w:eastAsia="zh-CN"/>
        </w:rPr>
        <w:t>驻场维保人员配置、增值服务配套</w:t>
      </w:r>
      <w:r>
        <w:rPr>
          <w:rFonts w:hint="eastAsia" w:ascii="仿宋_GB2312" w:eastAsia="仿宋_GB2312"/>
          <w:sz w:val="28"/>
          <w:szCs w:val="28"/>
        </w:rPr>
        <w:t>得分。采购人根据评审报告和成交建议确定成交响应单位。</w:t>
      </w:r>
    </w:p>
    <w:p w14:paraId="258D4BB7">
      <w:pPr>
        <w:rPr>
          <w:rFonts w:hint="eastAsia" w:ascii="仿宋_GB2312" w:eastAsia="仿宋_GB2312"/>
          <w:sz w:val="28"/>
          <w:szCs w:val="28"/>
        </w:rPr>
      </w:pPr>
      <w:r>
        <w:rPr>
          <w:rFonts w:hint="eastAsia" w:ascii="仿宋_GB2312" w:eastAsia="仿宋_GB2312"/>
          <w:sz w:val="28"/>
          <w:szCs w:val="28"/>
        </w:rPr>
        <w:t>（三）详细评审</w:t>
      </w:r>
    </w:p>
    <w:p w14:paraId="389E6E64">
      <w:pPr>
        <w:kinsoku w:val="0"/>
        <w:overflowPunct w:val="0"/>
        <w:adjustRightInd w:val="0"/>
        <w:snapToGrid w:val="0"/>
        <w:spacing w:line="360" w:lineRule="auto"/>
        <w:jc w:val="left"/>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1.价格评审标准</w:t>
      </w:r>
    </w:p>
    <w:p w14:paraId="30FDD409">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响应文件存在响应报价问题的，进行响应报价的算术修正，响应报价算术修正按有利于采购人的原则进行，具体修正原则为：</w:t>
      </w:r>
    </w:p>
    <w:p w14:paraId="14BC31B7">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（1）报价表与响应文件其他资料中的响应报价不一致的，以报价表为准；</w:t>
      </w:r>
    </w:p>
    <w:p w14:paraId="12CC0829">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（2）大写金额与小写金额不一致的，以大写金额为准（有明显错误的除外）。</w:t>
      </w:r>
    </w:p>
    <w:p w14:paraId="3861B5BB">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价格评分的计算：</w:t>
      </w:r>
    </w:p>
    <w:p w14:paraId="1785A08D">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（1）确定评审基准价：本次采购的评审基准价，是所有通过初步评审且报价不超过最高响应限价的有效响应报价中的</w:t>
      </w:r>
      <w:r>
        <w:rPr>
          <w:rFonts w:hint="eastAsia" w:ascii="仿宋_GB2312" w:hAnsi="宋体" w:eastAsia="仿宋_GB2312"/>
          <w:color w:val="000000" w:themeColor="text1"/>
          <w:sz w:val="28"/>
          <w:szCs w:val="28"/>
          <w:u w:val="single"/>
          <w14:textFill>
            <w14:solidFill>
              <w14:schemeClr w14:val="tx1"/>
            </w14:solidFill>
          </w14:textFill>
        </w:rPr>
        <w:t>最低价</w:t>
      </w:r>
      <w:r>
        <w:rPr>
          <w:rFonts w:hint="eastAsia" w:ascii="仿宋_GB2312" w:hAnsi="宋体" w:eastAsia="仿宋_GB2312"/>
          <w:color w:val="000000" w:themeColor="text1"/>
          <w:sz w:val="28"/>
          <w:szCs w:val="28"/>
          <w14:textFill>
            <w14:solidFill>
              <w14:schemeClr w14:val="tx1"/>
            </w14:solidFill>
          </w14:textFill>
        </w:rPr>
        <w:t>；</w:t>
      </w:r>
    </w:p>
    <w:p w14:paraId="7C6CFDFC">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（2）计算价格得分时，取基准分为</w:t>
      </w:r>
      <w:r>
        <w:rPr>
          <w:rFonts w:hint="eastAsia" w:ascii="仿宋_GB2312" w:hAnsi="宋体" w:eastAsia="仿宋_GB2312"/>
          <w:color w:val="000000" w:themeColor="text1"/>
          <w:sz w:val="28"/>
          <w:szCs w:val="28"/>
          <w:lang w:val="en-US" w:eastAsia="zh-CN"/>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分，报价等于评审基准价时得满分，其他响应单位的价格得分=[评审基准价/响应报价]×</w:t>
      </w:r>
      <w:r>
        <w:rPr>
          <w:rFonts w:hint="eastAsia" w:ascii="仿宋_GB2312" w:hAnsi="宋体" w:eastAsia="仿宋_GB2312"/>
          <w:color w:val="000000" w:themeColor="text1"/>
          <w:sz w:val="28"/>
          <w:szCs w:val="28"/>
          <w:lang w:val="en-US" w:eastAsia="zh-CN"/>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；经以上算法得出的数值即为通过初步评审的响应人的价格得分（计算过程及计算结果四舍五入保留小数点后两位）。</w:t>
      </w:r>
    </w:p>
    <w:p w14:paraId="72B11F02">
      <w:pPr>
        <w:kinsoku w:val="0"/>
        <w:overflowPunct w:val="0"/>
        <w:adjustRightInd w:val="0"/>
        <w:snapToGrid w:val="0"/>
        <w:spacing w:line="360" w:lineRule="auto"/>
        <w:jc w:val="left"/>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2.技术评审标准</w:t>
      </w:r>
    </w:p>
    <w:p w14:paraId="0FFF740F">
      <w:pPr>
        <w:kinsoku w:val="0"/>
        <w:overflowPunct w:val="0"/>
        <w:adjustRightInd w:val="0"/>
        <w:snapToGrid w:val="0"/>
        <w:spacing w:line="360" w:lineRule="auto"/>
        <w:ind w:firstLine="562"/>
        <w:jc w:val="center"/>
        <w:rPr>
          <w:rFonts w:hint="eastAsia" w:ascii="仿宋_GB2312" w:hAnsi="宋体" w:eastAsia="仿宋_GB2312"/>
          <w:b/>
          <w:bCs/>
          <w:sz w:val="28"/>
          <w:szCs w:val="28"/>
        </w:rPr>
      </w:pPr>
      <w:r>
        <w:rPr>
          <w:rFonts w:hint="eastAsia" w:ascii="仿宋_GB2312" w:hAnsi="宋体" w:eastAsia="仿宋_GB2312"/>
          <w:b/>
          <w:bCs/>
          <w:sz w:val="28"/>
          <w:szCs w:val="28"/>
        </w:rPr>
        <w:t>《技术评审标准》</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260"/>
        <w:gridCol w:w="4485"/>
        <w:gridCol w:w="1680"/>
        <w:gridCol w:w="1067"/>
      </w:tblGrid>
      <w:tr w14:paraId="3D9E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blHeader/>
          <w:jc w:val="center"/>
        </w:trPr>
        <w:tc>
          <w:tcPr>
            <w:tcW w:w="859" w:type="dxa"/>
            <w:shd w:val="clear" w:color="auto" w:fill="auto"/>
            <w:vAlign w:val="center"/>
          </w:tcPr>
          <w:p w14:paraId="56141F51">
            <w:pPr>
              <w:kinsoku w:val="0"/>
              <w:overflowPunct w:val="0"/>
              <w:adjustRightInd w:val="0"/>
              <w:snapToGrid w:val="0"/>
              <w:spacing w:line="300" w:lineRule="exact"/>
              <w:ind w:firstLine="0" w:firstLineChars="0"/>
              <w:rPr>
                <w:rFonts w:hint="eastAsia" w:ascii="仿宋_GB2312" w:hAnsi="宋体" w:eastAsia="仿宋_GB2312"/>
                <w:b/>
                <w:szCs w:val="24"/>
              </w:rPr>
            </w:pPr>
            <w:bookmarkStart w:id="6" w:name="_Hlk65568802"/>
            <w:r>
              <w:rPr>
                <w:rFonts w:hint="eastAsia" w:ascii="仿宋_GB2312" w:hAnsi="宋体" w:eastAsia="仿宋_GB2312"/>
                <w:b/>
                <w:szCs w:val="24"/>
              </w:rPr>
              <w:t>序号</w:t>
            </w:r>
          </w:p>
        </w:tc>
        <w:tc>
          <w:tcPr>
            <w:tcW w:w="1260" w:type="dxa"/>
            <w:shd w:val="clear" w:color="auto" w:fill="auto"/>
            <w:vAlign w:val="center"/>
          </w:tcPr>
          <w:p w14:paraId="5D024549">
            <w:pPr>
              <w:kinsoku w:val="0"/>
              <w:overflowPunct w:val="0"/>
              <w:adjustRightInd w:val="0"/>
              <w:snapToGrid w:val="0"/>
              <w:spacing w:line="300" w:lineRule="exact"/>
              <w:ind w:firstLine="0" w:firstLineChars="0"/>
              <w:rPr>
                <w:rFonts w:hint="eastAsia" w:ascii="仿宋_GB2312" w:hAnsi="宋体" w:eastAsia="仿宋_GB2312"/>
                <w:b/>
                <w:szCs w:val="24"/>
              </w:rPr>
            </w:pPr>
            <w:r>
              <w:rPr>
                <w:rFonts w:hint="eastAsia" w:ascii="仿宋_GB2312" w:hAnsi="宋体" w:eastAsia="仿宋_GB2312"/>
                <w:b/>
                <w:szCs w:val="24"/>
              </w:rPr>
              <w:t>评审项目</w:t>
            </w:r>
          </w:p>
        </w:tc>
        <w:tc>
          <w:tcPr>
            <w:tcW w:w="4485" w:type="dxa"/>
            <w:shd w:val="clear" w:color="auto" w:fill="auto"/>
            <w:vAlign w:val="center"/>
          </w:tcPr>
          <w:p w14:paraId="3B28D9B6">
            <w:pPr>
              <w:kinsoku w:val="0"/>
              <w:overflowPunct w:val="0"/>
              <w:adjustRightInd w:val="0"/>
              <w:snapToGrid w:val="0"/>
              <w:spacing w:line="300" w:lineRule="exact"/>
              <w:ind w:firstLine="482"/>
              <w:jc w:val="center"/>
              <w:rPr>
                <w:rFonts w:hint="eastAsia" w:ascii="仿宋_GB2312" w:hAnsi="宋体" w:eastAsia="仿宋_GB2312"/>
                <w:b/>
                <w:szCs w:val="24"/>
              </w:rPr>
            </w:pPr>
            <w:r>
              <w:rPr>
                <w:rFonts w:hint="eastAsia" w:ascii="仿宋_GB2312" w:hAnsi="宋体" w:eastAsia="仿宋_GB2312"/>
                <w:b/>
                <w:szCs w:val="24"/>
              </w:rPr>
              <w:t>评审标准</w:t>
            </w:r>
          </w:p>
        </w:tc>
        <w:tc>
          <w:tcPr>
            <w:tcW w:w="1680" w:type="dxa"/>
            <w:shd w:val="clear" w:color="auto" w:fill="auto"/>
            <w:vAlign w:val="center"/>
          </w:tcPr>
          <w:p w14:paraId="2934ECF1">
            <w:pPr>
              <w:kinsoku w:val="0"/>
              <w:overflowPunct w:val="0"/>
              <w:adjustRightInd w:val="0"/>
              <w:snapToGrid w:val="0"/>
              <w:spacing w:line="300" w:lineRule="exact"/>
              <w:ind w:firstLine="0" w:firstLineChars="0"/>
              <w:jc w:val="center"/>
              <w:rPr>
                <w:rFonts w:hint="eastAsia" w:ascii="仿宋_GB2312" w:hAnsi="宋体" w:eastAsia="仿宋_GB2312"/>
                <w:b/>
                <w:szCs w:val="24"/>
              </w:rPr>
            </w:pPr>
            <w:r>
              <w:rPr>
                <w:rFonts w:hint="eastAsia" w:ascii="仿宋_GB2312" w:hAnsi="宋体" w:eastAsia="仿宋_GB2312"/>
                <w:b/>
                <w:szCs w:val="24"/>
              </w:rPr>
              <w:t>证明材料</w:t>
            </w:r>
          </w:p>
        </w:tc>
        <w:tc>
          <w:tcPr>
            <w:tcW w:w="1067" w:type="dxa"/>
            <w:shd w:val="clear" w:color="auto" w:fill="auto"/>
            <w:vAlign w:val="center"/>
          </w:tcPr>
          <w:p w14:paraId="6E729A83">
            <w:pPr>
              <w:kinsoku w:val="0"/>
              <w:overflowPunct w:val="0"/>
              <w:adjustRightInd w:val="0"/>
              <w:snapToGrid w:val="0"/>
              <w:spacing w:line="300" w:lineRule="exact"/>
              <w:ind w:firstLine="0" w:firstLineChars="0"/>
              <w:jc w:val="center"/>
              <w:rPr>
                <w:rFonts w:hint="eastAsia" w:ascii="仿宋_GB2312" w:hAnsi="宋体" w:eastAsia="仿宋_GB2312"/>
                <w:b/>
                <w:szCs w:val="24"/>
              </w:rPr>
            </w:pPr>
            <w:r>
              <w:rPr>
                <w:rFonts w:hint="eastAsia" w:ascii="仿宋_GB2312" w:hAnsi="宋体" w:eastAsia="仿宋_GB2312"/>
                <w:b/>
                <w:szCs w:val="24"/>
              </w:rPr>
              <w:t>分值</w:t>
            </w:r>
          </w:p>
        </w:tc>
      </w:tr>
      <w:tr w14:paraId="3D2D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859" w:type="dxa"/>
            <w:shd w:val="clear" w:color="auto" w:fill="auto"/>
            <w:vAlign w:val="center"/>
          </w:tcPr>
          <w:p w14:paraId="049EE6D8">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rPr>
            </w:pPr>
            <w:r>
              <w:rPr>
                <w:rFonts w:hint="eastAsia" w:ascii="仿宋_GB2312" w:hAnsi="宋体" w:eastAsia="仿宋_GB2312"/>
                <w:szCs w:val="24"/>
              </w:rPr>
              <w:t>1</w:t>
            </w:r>
          </w:p>
        </w:tc>
        <w:tc>
          <w:tcPr>
            <w:tcW w:w="1260" w:type="dxa"/>
            <w:shd w:val="clear" w:color="auto" w:fill="auto"/>
            <w:vAlign w:val="center"/>
          </w:tcPr>
          <w:p w14:paraId="5F0A98F9">
            <w:pPr>
              <w:pStyle w:val="23"/>
              <w:spacing w:line="300" w:lineRule="exact"/>
              <w:ind w:firstLine="0" w:firstLineChars="0"/>
              <w:jc w:val="left"/>
              <w:rPr>
                <w:rFonts w:hint="eastAsia" w:ascii="仿宋_GB2312" w:eastAsia="仿宋_GB2312"/>
                <w:sz w:val="24"/>
                <w:szCs w:val="24"/>
                <w:lang w:val="en-US" w:eastAsia="zh-CN"/>
              </w:rPr>
            </w:pPr>
            <w:r>
              <w:rPr>
                <w:rFonts w:hint="eastAsia" w:ascii="仿宋_GB2312" w:hAnsi="宋体" w:eastAsia="仿宋_GB2312" w:cs="宋体"/>
                <w:sz w:val="24"/>
                <w:szCs w:val="24"/>
                <w:lang w:val="en-US" w:eastAsia="zh-CN"/>
              </w:rPr>
              <w:t>分级维保完整实施方案</w:t>
            </w:r>
          </w:p>
        </w:tc>
        <w:tc>
          <w:tcPr>
            <w:tcW w:w="4485" w:type="dxa"/>
            <w:shd w:val="clear" w:color="auto" w:fill="auto"/>
            <w:vAlign w:val="center"/>
          </w:tcPr>
          <w:p w14:paraId="349B849D">
            <w:pPr>
              <w:pStyle w:val="23"/>
              <w:spacing w:line="300" w:lineRule="exact"/>
              <w:ind w:firstLine="0" w:firstLineChars="0"/>
              <w:jc w:val="left"/>
              <w:rPr>
                <w:rFonts w:hint="eastAsia" w:ascii="仿宋_GB2312" w:eastAsia="仿宋_GB2312"/>
                <w:sz w:val="24"/>
                <w:szCs w:val="24"/>
                <w:lang w:val="en-US" w:eastAsia="zh-CN"/>
              </w:rPr>
            </w:pPr>
            <w:r>
              <w:rPr>
                <w:rFonts w:hint="eastAsia" w:ascii="仿宋_GB2312" w:eastAsia="仿宋_GB2312" w:cs="宋体"/>
                <w:sz w:val="24"/>
                <w:szCs w:val="24"/>
                <w:lang w:val="en-US" w:eastAsia="zh-CN"/>
              </w:rPr>
              <w:t>9-</w:t>
            </w:r>
            <w:r>
              <w:rPr>
                <w:rFonts w:hint="eastAsia" w:ascii="仿宋_GB2312" w:hAnsi="宋体" w:eastAsia="仿宋_GB2312" w:cs="宋体"/>
                <w:sz w:val="24"/>
                <w:szCs w:val="24"/>
                <w:lang w:val="en-US" w:eastAsia="zh-CN"/>
              </w:rPr>
              <w:t>10分：完整覆盖日巡检/周保养/月检修/季度专项/半年度深度检修，针对本车库历史高频存取车故障点位制定专项常态化整治台账，作业区分营业不停机、夜间停机检修，流程可落地；</w:t>
            </w:r>
            <w:r>
              <w:rPr>
                <w:rFonts w:hint="eastAsia" w:ascii="仿宋_GB2312" w:hAnsi="宋体" w:eastAsia="仿宋_GB2312" w:cs="宋体"/>
                <w:sz w:val="24"/>
                <w:szCs w:val="24"/>
                <w:lang w:val="en-US" w:eastAsia="zh-CN"/>
              </w:rPr>
              <w:br w:type="textWrapping"/>
            </w:r>
            <w:r>
              <w:rPr>
                <w:rFonts w:hint="eastAsia" w:ascii="仿宋_GB2312" w:eastAsia="仿宋_GB2312" w:cs="宋体"/>
                <w:sz w:val="24"/>
                <w:szCs w:val="24"/>
                <w:lang w:val="en-US" w:eastAsia="zh-CN"/>
              </w:rPr>
              <w:t>5</w:t>
            </w:r>
            <w:r>
              <w:rPr>
                <w:rFonts w:hint="eastAsia" w:ascii="仿宋_GB2312" w:hAnsi="宋体" w:eastAsia="仿宋_GB2312" w:cs="宋体"/>
                <w:sz w:val="24"/>
                <w:szCs w:val="24"/>
                <w:lang w:val="en-US" w:eastAsia="zh-CN"/>
              </w:rPr>
              <w:t>-</w:t>
            </w:r>
            <w:r>
              <w:rPr>
                <w:rFonts w:hint="eastAsia" w:ascii="仿宋_GB2312" w:eastAsia="仿宋_GB2312" w:cs="宋体"/>
                <w:sz w:val="24"/>
                <w:szCs w:val="24"/>
                <w:lang w:val="en-US" w:eastAsia="zh-CN"/>
              </w:rPr>
              <w:t>8分</w:t>
            </w:r>
            <w:r>
              <w:rPr>
                <w:rFonts w:hint="eastAsia" w:ascii="仿宋_GB2312" w:hAnsi="宋体" w:eastAsia="仿宋_GB2312" w:cs="宋体"/>
                <w:sz w:val="24"/>
                <w:szCs w:val="24"/>
                <w:lang w:val="en-US" w:eastAsia="zh-CN"/>
              </w:rPr>
              <w:t>：具备全套分级维保流程，但存取车高频点位专项整治方案简略；</w:t>
            </w:r>
            <w:r>
              <w:rPr>
                <w:rFonts w:hint="eastAsia" w:ascii="仿宋_GB2312" w:hAnsi="宋体" w:eastAsia="仿宋_GB2312" w:cs="宋体"/>
                <w:sz w:val="24"/>
                <w:szCs w:val="24"/>
                <w:lang w:val="en-US" w:eastAsia="zh-CN"/>
              </w:rPr>
              <w:br w:type="textWrapping"/>
            </w:r>
            <w:r>
              <w:rPr>
                <w:rFonts w:hint="eastAsia" w:ascii="仿宋_GB2312" w:hAnsi="宋体" w:eastAsia="仿宋_GB2312" w:cs="宋体"/>
                <w:sz w:val="24"/>
                <w:szCs w:val="24"/>
                <w:lang w:val="en-US" w:eastAsia="zh-CN"/>
              </w:rPr>
              <w:t>0-</w:t>
            </w:r>
            <w:r>
              <w:rPr>
                <w:rFonts w:hint="eastAsia" w:ascii="仿宋_GB2312" w:eastAsia="仿宋_GB2312" w:cs="宋体"/>
                <w:sz w:val="24"/>
                <w:szCs w:val="24"/>
                <w:lang w:val="en-US" w:eastAsia="zh-CN"/>
              </w:rPr>
              <w:t>4</w:t>
            </w:r>
            <w:r>
              <w:rPr>
                <w:rFonts w:hint="eastAsia" w:ascii="仿宋_GB2312" w:hAnsi="宋体" w:eastAsia="仿宋_GB2312" w:cs="宋体"/>
                <w:sz w:val="24"/>
                <w:szCs w:val="24"/>
                <w:lang w:val="en-US" w:eastAsia="zh-CN"/>
              </w:rPr>
              <w:t>分：维保周期缺失2项及以上，无存取车故障定点隐患整治措施</w:t>
            </w:r>
          </w:p>
        </w:tc>
        <w:tc>
          <w:tcPr>
            <w:tcW w:w="1680" w:type="dxa"/>
            <w:shd w:val="clear" w:color="auto" w:fill="auto"/>
            <w:vAlign w:val="center"/>
          </w:tcPr>
          <w:p w14:paraId="4D3B540D">
            <w:pPr>
              <w:pStyle w:val="23"/>
              <w:spacing w:line="300" w:lineRule="exact"/>
              <w:ind w:firstLine="0" w:firstLineChars="0"/>
              <w:jc w:val="left"/>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标准化维保方案、存取车高频点位专项巡检计划</w:t>
            </w:r>
          </w:p>
        </w:tc>
        <w:tc>
          <w:tcPr>
            <w:tcW w:w="1067" w:type="dxa"/>
            <w:shd w:val="clear" w:color="auto" w:fill="auto"/>
            <w:vAlign w:val="center"/>
          </w:tcPr>
          <w:p w14:paraId="78144877">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rPr>
            </w:pPr>
            <w:r>
              <w:rPr>
                <w:rFonts w:hint="eastAsia" w:ascii="仿宋_GB2312" w:hAnsi="宋体" w:eastAsia="仿宋_GB2312"/>
                <w:color w:val="000000" w:themeColor="text1"/>
                <w:szCs w:val="24"/>
                <w:lang w:val="en-US" w:eastAsia="zh-CN"/>
                <w14:textFill>
                  <w14:solidFill>
                    <w14:schemeClr w14:val="tx1"/>
                  </w14:solidFill>
                </w14:textFill>
              </w:rPr>
              <w:t>10</w:t>
            </w:r>
            <w:r>
              <w:rPr>
                <w:rFonts w:hint="eastAsia" w:ascii="仿宋_GB2312" w:hAnsi="宋体" w:eastAsia="仿宋_GB2312"/>
                <w:szCs w:val="24"/>
              </w:rPr>
              <w:t>分</w:t>
            </w:r>
          </w:p>
        </w:tc>
      </w:tr>
      <w:tr w14:paraId="7517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859" w:type="dxa"/>
            <w:shd w:val="clear" w:color="auto" w:fill="auto"/>
            <w:vAlign w:val="center"/>
          </w:tcPr>
          <w:p w14:paraId="02FD71E6">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lang w:eastAsia="zh-CN"/>
              </w:rPr>
            </w:pPr>
            <w:r>
              <w:rPr>
                <w:rFonts w:hint="eastAsia" w:ascii="仿宋_GB2312" w:hAnsi="宋体" w:eastAsia="仿宋_GB2312"/>
                <w:szCs w:val="24"/>
                <w:lang w:val="en-US" w:eastAsia="zh-CN"/>
              </w:rPr>
              <w:t>2</w:t>
            </w:r>
          </w:p>
        </w:tc>
        <w:tc>
          <w:tcPr>
            <w:tcW w:w="1260" w:type="dxa"/>
            <w:shd w:val="clear" w:color="auto" w:fill="auto"/>
            <w:vAlign w:val="center"/>
          </w:tcPr>
          <w:p w14:paraId="50073841">
            <w:pPr>
              <w:pStyle w:val="23"/>
              <w:spacing w:line="300" w:lineRule="exact"/>
              <w:ind w:firstLine="0" w:firstLineChars="0"/>
              <w:jc w:val="left"/>
              <w:rPr>
                <w:rFonts w:hint="default"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故障响应与修复时效</w:t>
            </w:r>
          </w:p>
        </w:tc>
        <w:tc>
          <w:tcPr>
            <w:tcW w:w="4485" w:type="dxa"/>
            <w:shd w:val="clear" w:color="auto" w:fill="auto"/>
            <w:vAlign w:val="center"/>
          </w:tcPr>
          <w:p w14:paraId="4005FC31">
            <w:pPr>
              <w:pStyle w:val="23"/>
              <w:spacing w:line="300" w:lineRule="exact"/>
              <w:ind w:firstLine="0" w:firstLineChars="0"/>
              <w:jc w:val="left"/>
              <w:rPr>
                <w:rFonts w:hint="eastAsia" w:ascii="仿宋_GB2312" w:hAnsi="宋体" w:eastAsia="仿宋_GB2312" w:cs="宋体"/>
                <w:sz w:val="24"/>
                <w:szCs w:val="24"/>
                <w:lang w:val="en-US" w:eastAsia="zh-CN"/>
              </w:rPr>
            </w:pPr>
            <w:r>
              <w:rPr>
                <w:rFonts w:hint="eastAsia" w:ascii="仿宋_GB2312" w:eastAsia="仿宋_GB2312" w:cs="宋体"/>
                <w:sz w:val="24"/>
                <w:szCs w:val="24"/>
                <w:lang w:val="en-US" w:eastAsia="zh-CN"/>
              </w:rPr>
              <w:t>9-</w:t>
            </w:r>
            <w:r>
              <w:rPr>
                <w:rFonts w:hint="eastAsia" w:ascii="仿宋_GB2312" w:hAnsi="宋体" w:eastAsia="仿宋_GB2312" w:cs="宋体"/>
                <w:sz w:val="24"/>
                <w:szCs w:val="24"/>
                <w:lang w:val="en-US" w:eastAsia="zh-CN"/>
              </w:rPr>
              <w:t>10分：书面加盖公章承诺7×24小时报修20分钟内到场；一般存取车故障90分钟内彻底修复；重大故障4小时恢复基础存取功能，区分现场常备小件、原厂定制大件配件设置差异化闭环时限，配套现场备件仓保障方案；</w:t>
            </w:r>
            <w:r>
              <w:rPr>
                <w:rFonts w:hint="eastAsia" w:ascii="仿宋_GB2312" w:hAnsi="宋体" w:eastAsia="仿宋_GB2312" w:cs="宋体"/>
                <w:sz w:val="24"/>
                <w:szCs w:val="24"/>
                <w:lang w:val="en-US" w:eastAsia="zh-CN"/>
              </w:rPr>
              <w:br w:type="textWrapping"/>
            </w:r>
            <w:r>
              <w:rPr>
                <w:rFonts w:hint="eastAsia" w:ascii="仿宋_GB2312" w:eastAsia="仿宋_GB2312" w:cs="宋体"/>
                <w:sz w:val="24"/>
                <w:szCs w:val="24"/>
                <w:lang w:val="en-US" w:eastAsia="zh-CN"/>
              </w:rPr>
              <w:t>5</w:t>
            </w:r>
            <w:r>
              <w:rPr>
                <w:rFonts w:hint="eastAsia" w:ascii="仿宋_GB2312" w:hAnsi="宋体" w:eastAsia="仿宋_GB2312" w:cs="宋体"/>
                <w:sz w:val="24"/>
                <w:szCs w:val="24"/>
                <w:lang w:val="en-US" w:eastAsia="zh-CN"/>
              </w:rPr>
              <w:t>-</w:t>
            </w:r>
            <w:r>
              <w:rPr>
                <w:rFonts w:hint="eastAsia" w:ascii="仿宋_GB2312" w:eastAsia="仿宋_GB2312" w:cs="宋体"/>
                <w:sz w:val="24"/>
                <w:szCs w:val="24"/>
                <w:lang w:val="en-US" w:eastAsia="zh-CN"/>
              </w:rPr>
              <w:t>8</w:t>
            </w:r>
            <w:r>
              <w:rPr>
                <w:rFonts w:hint="eastAsia" w:ascii="仿宋_GB2312" w:hAnsi="宋体" w:eastAsia="仿宋_GB2312" w:cs="宋体"/>
                <w:sz w:val="24"/>
                <w:szCs w:val="24"/>
                <w:lang w:val="en-US" w:eastAsia="zh-CN"/>
              </w:rPr>
              <w:t>分：到场、修复时限全部达标，但备件储备方案简略；</w:t>
            </w:r>
            <w:r>
              <w:rPr>
                <w:rFonts w:hint="eastAsia" w:ascii="仿宋_GB2312" w:hAnsi="宋体" w:eastAsia="仿宋_GB2312" w:cs="宋体"/>
                <w:sz w:val="24"/>
                <w:szCs w:val="24"/>
                <w:lang w:val="en-US" w:eastAsia="zh-CN"/>
              </w:rPr>
              <w:br w:type="textWrapping"/>
            </w:r>
            <w:r>
              <w:rPr>
                <w:rFonts w:hint="eastAsia" w:ascii="仿宋_GB2312" w:hAnsi="宋体" w:eastAsia="仿宋_GB2312" w:cs="宋体"/>
                <w:sz w:val="24"/>
                <w:szCs w:val="24"/>
                <w:lang w:val="en-US" w:eastAsia="zh-CN"/>
              </w:rPr>
              <w:t>0-</w:t>
            </w:r>
            <w:r>
              <w:rPr>
                <w:rFonts w:hint="eastAsia" w:ascii="仿宋_GB2312" w:eastAsia="仿宋_GB2312" w:cs="宋体"/>
                <w:sz w:val="24"/>
                <w:szCs w:val="24"/>
                <w:lang w:val="en-US" w:eastAsia="zh-CN"/>
              </w:rPr>
              <w:t>4</w:t>
            </w:r>
            <w:r>
              <w:rPr>
                <w:rFonts w:hint="eastAsia" w:ascii="仿宋_GB2312" w:hAnsi="宋体" w:eastAsia="仿宋_GB2312" w:cs="宋体"/>
                <w:sz w:val="24"/>
                <w:szCs w:val="24"/>
                <w:lang w:val="en-US" w:eastAsia="zh-CN"/>
              </w:rPr>
              <w:t>分：到场＞20分钟、一般存取车故障修复＞90分钟任一指标未承诺</w:t>
            </w:r>
          </w:p>
        </w:tc>
        <w:tc>
          <w:tcPr>
            <w:tcW w:w="1680" w:type="dxa"/>
            <w:shd w:val="clear" w:color="auto" w:fill="auto"/>
            <w:vAlign w:val="center"/>
          </w:tcPr>
          <w:p w14:paraId="40A8C7D5">
            <w:pPr>
              <w:pStyle w:val="23"/>
              <w:spacing w:line="300" w:lineRule="exact"/>
              <w:ind w:firstLine="0" w:firstLineChars="0"/>
              <w:jc w:val="left"/>
              <w:rPr>
                <w:rFonts w:hint="default"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时效承诺书、现场备件储备清单</w:t>
            </w:r>
          </w:p>
        </w:tc>
        <w:tc>
          <w:tcPr>
            <w:tcW w:w="1067" w:type="dxa"/>
            <w:shd w:val="clear" w:color="auto" w:fill="auto"/>
            <w:vAlign w:val="center"/>
          </w:tcPr>
          <w:p w14:paraId="2606FCAA">
            <w:pPr>
              <w:kinsoku w:val="0"/>
              <w:overflowPunct w:val="0"/>
              <w:adjustRightInd w:val="0"/>
              <w:snapToGrid w:val="0"/>
              <w:spacing w:line="300" w:lineRule="exact"/>
              <w:ind w:left="0" w:leftChars="0" w:firstLine="0" w:firstLineChars="0"/>
              <w:jc w:val="center"/>
              <w:rPr>
                <w:rFonts w:hint="default" w:ascii="仿宋_GB2312" w:hAnsi="宋体" w:eastAsia="仿宋_GB2312"/>
                <w:szCs w:val="24"/>
                <w:lang w:val="en-US" w:eastAsia="zh-CN"/>
              </w:rPr>
            </w:pPr>
            <w:r>
              <w:rPr>
                <w:rFonts w:hint="eastAsia" w:ascii="仿宋_GB2312" w:hAnsi="宋体" w:eastAsia="仿宋_GB2312"/>
                <w:color w:val="000000" w:themeColor="text1"/>
                <w:szCs w:val="24"/>
                <w:lang w:val="en-US" w:eastAsia="zh-CN"/>
                <w14:textFill>
                  <w14:solidFill>
                    <w14:schemeClr w14:val="tx1"/>
                  </w14:solidFill>
                </w14:textFill>
              </w:rPr>
              <w:t>10</w:t>
            </w:r>
            <w:r>
              <w:rPr>
                <w:rFonts w:hint="eastAsia" w:ascii="仿宋_GB2312" w:hAnsi="宋体" w:eastAsia="仿宋_GB2312"/>
                <w:szCs w:val="24"/>
              </w:rPr>
              <w:t>分</w:t>
            </w:r>
          </w:p>
        </w:tc>
      </w:tr>
      <w:tr w14:paraId="5EAB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859" w:type="dxa"/>
            <w:shd w:val="clear" w:color="auto" w:fill="auto"/>
            <w:vAlign w:val="center"/>
          </w:tcPr>
          <w:p w14:paraId="09D58A74">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lang w:val="en-US" w:eastAsia="zh-CN"/>
              </w:rPr>
            </w:pPr>
            <w:r>
              <w:rPr>
                <w:rFonts w:hint="eastAsia" w:ascii="仿宋_GB2312" w:hAnsi="宋体" w:eastAsia="仿宋_GB2312"/>
                <w:szCs w:val="24"/>
                <w:lang w:val="en-US" w:eastAsia="zh-CN"/>
              </w:rPr>
              <w:t>3</w:t>
            </w:r>
          </w:p>
        </w:tc>
        <w:tc>
          <w:tcPr>
            <w:tcW w:w="1260" w:type="dxa"/>
            <w:shd w:val="clear" w:color="auto" w:fill="auto"/>
            <w:vAlign w:val="center"/>
          </w:tcPr>
          <w:p w14:paraId="6CE5D5BB">
            <w:pPr>
              <w:pStyle w:val="23"/>
              <w:spacing w:line="300" w:lineRule="exact"/>
              <w:ind w:firstLine="0" w:firstLineChars="0"/>
              <w:jc w:val="left"/>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月度存取车故障率管控目标</w:t>
            </w:r>
          </w:p>
        </w:tc>
        <w:tc>
          <w:tcPr>
            <w:tcW w:w="4485" w:type="dxa"/>
            <w:shd w:val="clear" w:color="auto" w:fill="auto"/>
            <w:vAlign w:val="center"/>
          </w:tcPr>
          <w:p w14:paraId="1D9CEF1B">
            <w:pPr>
              <w:pStyle w:val="23"/>
              <w:spacing w:line="300" w:lineRule="exact"/>
              <w:ind w:firstLine="0" w:firstLineChars="0"/>
              <w:jc w:val="left"/>
              <w:rPr>
                <w:rFonts w:hint="eastAsia" w:ascii="仿宋_GB2312" w:hAnsi="宋体" w:eastAsia="仿宋_GB2312" w:cs="宋体"/>
                <w:sz w:val="24"/>
                <w:szCs w:val="24"/>
                <w:lang w:val="en-US" w:eastAsia="zh-CN"/>
              </w:rPr>
            </w:pPr>
            <w:r>
              <w:rPr>
                <w:rFonts w:hint="eastAsia" w:ascii="仿宋_GB2312" w:eastAsia="仿宋_GB2312" w:cs="宋体"/>
                <w:sz w:val="24"/>
                <w:szCs w:val="24"/>
                <w:lang w:val="en-US" w:eastAsia="zh-CN"/>
              </w:rPr>
              <w:t>9-</w:t>
            </w:r>
            <w:r>
              <w:rPr>
                <w:rFonts w:hint="eastAsia" w:ascii="仿宋_GB2312" w:hAnsi="宋体" w:eastAsia="仿宋_GB2312" w:cs="宋体"/>
                <w:sz w:val="24"/>
                <w:szCs w:val="24"/>
                <w:lang w:val="en-US" w:eastAsia="zh-CN"/>
              </w:rPr>
              <w:t>10分：书面承诺月度存取车故障率≤2.0%；提供近12个月同规模平面移动车库完整月度故障台账（台账区分存取车故障与其他告警），配套存取车重复故障清零月度整改机制；</w:t>
            </w:r>
            <w:r>
              <w:rPr>
                <w:rFonts w:hint="eastAsia" w:ascii="仿宋_GB2312" w:hAnsi="宋体" w:eastAsia="仿宋_GB2312" w:cs="宋体"/>
                <w:sz w:val="24"/>
                <w:szCs w:val="24"/>
                <w:lang w:val="en-US" w:eastAsia="zh-CN"/>
              </w:rPr>
              <w:br w:type="textWrapping"/>
            </w:r>
            <w:r>
              <w:rPr>
                <w:rFonts w:hint="eastAsia" w:ascii="仿宋_GB2312" w:eastAsia="仿宋_GB2312" w:cs="宋体"/>
                <w:sz w:val="24"/>
                <w:szCs w:val="24"/>
                <w:lang w:val="en-US" w:eastAsia="zh-CN"/>
              </w:rPr>
              <w:t>5</w:t>
            </w:r>
            <w:r>
              <w:rPr>
                <w:rFonts w:hint="eastAsia" w:ascii="仿宋_GB2312" w:hAnsi="宋体" w:eastAsia="仿宋_GB2312" w:cs="宋体"/>
                <w:sz w:val="24"/>
                <w:szCs w:val="24"/>
                <w:lang w:val="en-US" w:eastAsia="zh-CN"/>
              </w:rPr>
              <w:t>-</w:t>
            </w:r>
            <w:r>
              <w:rPr>
                <w:rFonts w:hint="eastAsia" w:ascii="仿宋_GB2312" w:eastAsia="仿宋_GB2312" w:cs="宋体"/>
                <w:sz w:val="24"/>
                <w:szCs w:val="24"/>
                <w:lang w:val="en-US" w:eastAsia="zh-CN"/>
              </w:rPr>
              <w:t>8</w:t>
            </w:r>
            <w:r>
              <w:rPr>
                <w:rFonts w:hint="eastAsia" w:ascii="仿宋_GB2312" w:hAnsi="宋体" w:eastAsia="仿宋_GB2312" w:cs="宋体"/>
                <w:sz w:val="24"/>
                <w:szCs w:val="24"/>
                <w:lang w:val="en-US" w:eastAsia="zh-CN"/>
              </w:rPr>
              <w:t>分：承诺月度存取车故障率2.0%-4.0%，有基础故障管控方案，但无完整区分类型的过往故障台账支撑；</w:t>
            </w:r>
            <w:r>
              <w:rPr>
                <w:rFonts w:hint="eastAsia" w:ascii="仿宋_GB2312" w:hAnsi="宋体" w:eastAsia="仿宋_GB2312" w:cs="宋体"/>
                <w:sz w:val="24"/>
                <w:szCs w:val="24"/>
                <w:lang w:val="en-US" w:eastAsia="zh-CN"/>
              </w:rPr>
              <w:br w:type="textWrapping"/>
            </w:r>
            <w:r>
              <w:rPr>
                <w:rFonts w:hint="eastAsia" w:ascii="仿宋_GB2312" w:hAnsi="宋体" w:eastAsia="仿宋_GB2312" w:cs="宋体"/>
                <w:sz w:val="24"/>
                <w:szCs w:val="24"/>
                <w:lang w:val="en-US" w:eastAsia="zh-CN"/>
              </w:rPr>
              <w:t>0-</w:t>
            </w:r>
            <w:r>
              <w:rPr>
                <w:rFonts w:hint="eastAsia" w:ascii="仿宋_GB2312" w:eastAsia="仿宋_GB2312" w:cs="宋体"/>
                <w:sz w:val="24"/>
                <w:szCs w:val="24"/>
                <w:lang w:val="en-US" w:eastAsia="zh-CN"/>
              </w:rPr>
              <w:t>4</w:t>
            </w:r>
            <w:r>
              <w:rPr>
                <w:rFonts w:hint="eastAsia" w:ascii="仿宋_GB2312" w:hAnsi="宋体" w:eastAsia="仿宋_GB2312" w:cs="宋体"/>
                <w:sz w:val="24"/>
                <w:szCs w:val="24"/>
                <w:lang w:val="en-US" w:eastAsia="zh-CN"/>
              </w:rPr>
              <w:t>分：承诺月度存取车故障率＞4.0%，或未明确量化存取车故障率、无重复故障整改措施</w:t>
            </w:r>
          </w:p>
        </w:tc>
        <w:tc>
          <w:tcPr>
            <w:tcW w:w="1680" w:type="dxa"/>
            <w:shd w:val="clear" w:color="auto" w:fill="auto"/>
            <w:vAlign w:val="center"/>
          </w:tcPr>
          <w:p w14:paraId="210F8A3A">
            <w:pPr>
              <w:pStyle w:val="23"/>
              <w:spacing w:line="300" w:lineRule="exact"/>
              <w:ind w:firstLine="0" w:firstLineChars="0"/>
              <w:jc w:val="left"/>
              <w:rPr>
                <w:rFonts w:hint="default" w:ascii="仿宋_GB2312" w:hAnsi="宋体" w:eastAsia="仿宋_GB2312"/>
                <w:szCs w:val="24"/>
                <w:lang w:val="en-US" w:eastAsia="zh-CN"/>
              </w:rPr>
            </w:pPr>
            <w:r>
              <w:rPr>
                <w:rFonts w:hint="eastAsia" w:ascii="仿宋_GB2312" w:hAnsi="宋体" w:eastAsia="仿宋_GB2312" w:cs="宋体"/>
                <w:sz w:val="24"/>
                <w:szCs w:val="24"/>
                <w:lang w:val="en-US" w:eastAsia="zh-CN"/>
              </w:rPr>
              <w:t>存取车故障率管控方案、同类项目近一年区分故障类型的月度维修台账</w:t>
            </w:r>
          </w:p>
        </w:tc>
        <w:tc>
          <w:tcPr>
            <w:tcW w:w="1067" w:type="dxa"/>
            <w:shd w:val="clear" w:color="auto" w:fill="auto"/>
            <w:vAlign w:val="center"/>
          </w:tcPr>
          <w:p w14:paraId="2278AAC2">
            <w:pPr>
              <w:kinsoku w:val="0"/>
              <w:overflowPunct w:val="0"/>
              <w:adjustRightInd w:val="0"/>
              <w:snapToGrid w:val="0"/>
              <w:spacing w:line="300" w:lineRule="exact"/>
              <w:ind w:left="0" w:leftChars="0" w:firstLine="0" w:firstLineChars="0"/>
              <w:jc w:val="center"/>
              <w:rPr>
                <w:rFonts w:hint="default" w:ascii="仿宋_GB2312" w:hAnsi="宋体" w:eastAsia="仿宋_GB2312"/>
                <w:szCs w:val="24"/>
                <w:lang w:val="en-US" w:eastAsia="zh-CN"/>
              </w:rPr>
            </w:pPr>
            <w:r>
              <w:rPr>
                <w:rFonts w:hint="eastAsia" w:ascii="仿宋_GB2312" w:hAnsi="宋体" w:eastAsia="仿宋_GB2312"/>
                <w:color w:val="000000" w:themeColor="text1"/>
                <w:szCs w:val="24"/>
                <w:lang w:val="en-US" w:eastAsia="zh-CN"/>
                <w14:textFill>
                  <w14:solidFill>
                    <w14:schemeClr w14:val="tx1"/>
                  </w14:solidFill>
                </w14:textFill>
              </w:rPr>
              <w:t>10</w:t>
            </w:r>
            <w:r>
              <w:rPr>
                <w:rFonts w:hint="eastAsia" w:ascii="仿宋_GB2312" w:hAnsi="宋体" w:eastAsia="仿宋_GB2312"/>
                <w:szCs w:val="24"/>
              </w:rPr>
              <w:t>分</w:t>
            </w:r>
          </w:p>
        </w:tc>
      </w:tr>
      <w:tr w14:paraId="54FD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859" w:type="dxa"/>
            <w:shd w:val="clear" w:color="auto" w:fill="auto"/>
            <w:vAlign w:val="center"/>
          </w:tcPr>
          <w:p w14:paraId="195E49A8">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lang w:val="en-US" w:eastAsia="zh-CN"/>
              </w:rPr>
            </w:pPr>
            <w:r>
              <w:rPr>
                <w:rFonts w:hint="eastAsia" w:ascii="仿宋_GB2312" w:hAnsi="宋体" w:eastAsia="仿宋_GB2312"/>
                <w:szCs w:val="24"/>
                <w:lang w:val="en-US" w:eastAsia="zh-CN"/>
              </w:rPr>
              <w:t>4</w:t>
            </w:r>
          </w:p>
        </w:tc>
        <w:tc>
          <w:tcPr>
            <w:tcW w:w="1260" w:type="dxa"/>
            <w:shd w:val="clear" w:color="auto" w:fill="auto"/>
            <w:vAlign w:val="center"/>
          </w:tcPr>
          <w:p w14:paraId="278BDF39">
            <w:pPr>
              <w:pStyle w:val="23"/>
              <w:spacing w:line="300" w:lineRule="exact"/>
              <w:ind w:firstLine="0" w:firstLineChars="0"/>
              <w:jc w:val="left"/>
              <w:rPr>
                <w:rFonts w:hint="default"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驻场维保人员配置</w:t>
            </w:r>
          </w:p>
        </w:tc>
        <w:tc>
          <w:tcPr>
            <w:tcW w:w="4485" w:type="dxa"/>
            <w:shd w:val="clear" w:color="auto" w:fill="auto"/>
            <w:vAlign w:val="center"/>
          </w:tcPr>
          <w:p w14:paraId="1586D59B">
            <w:pPr>
              <w:pStyle w:val="23"/>
              <w:spacing w:line="300" w:lineRule="exact"/>
              <w:ind w:firstLine="0" w:firstLineChars="0"/>
              <w:jc w:val="left"/>
              <w:rPr>
                <w:rFonts w:hint="default" w:ascii="仿宋_GB2312" w:hAnsi="宋体" w:eastAsia="仿宋_GB2312" w:cs="宋体"/>
                <w:sz w:val="24"/>
                <w:szCs w:val="24"/>
                <w:lang w:val="en-US" w:eastAsia="zh-CN"/>
              </w:rPr>
            </w:pPr>
            <w:r>
              <w:rPr>
                <w:rFonts w:hint="eastAsia" w:ascii="仿宋_GB2312" w:eastAsia="仿宋_GB2312" w:cs="宋体"/>
                <w:sz w:val="24"/>
                <w:szCs w:val="24"/>
                <w:lang w:val="en-US" w:eastAsia="zh-CN"/>
              </w:rPr>
              <w:t>9-</w:t>
            </w:r>
            <w:r>
              <w:rPr>
                <w:rFonts w:hint="eastAsia" w:ascii="仿宋_GB2312" w:hAnsi="宋体" w:eastAsia="仿宋_GB2312" w:cs="宋体"/>
                <w:sz w:val="24"/>
                <w:szCs w:val="24"/>
                <w:lang w:val="en-US" w:eastAsia="zh-CN"/>
              </w:rPr>
              <w:t>10分：承诺全年每日2名持证维保人员8小时在岗，提供同类平面移动车库从业证明，人员更换需提前7天书面报备甲方；</w:t>
            </w:r>
            <w:r>
              <w:rPr>
                <w:rFonts w:hint="eastAsia" w:ascii="仿宋_GB2312" w:hAnsi="宋体" w:eastAsia="仿宋_GB2312" w:cs="宋体"/>
                <w:sz w:val="24"/>
                <w:szCs w:val="24"/>
                <w:lang w:val="en-US" w:eastAsia="zh-CN"/>
              </w:rPr>
              <w:br w:type="textWrapping"/>
            </w:r>
            <w:r>
              <w:rPr>
                <w:rFonts w:hint="eastAsia" w:ascii="仿宋_GB2312" w:eastAsia="仿宋_GB2312" w:cs="宋体"/>
                <w:sz w:val="24"/>
                <w:szCs w:val="24"/>
                <w:lang w:val="en-US" w:eastAsia="zh-CN"/>
              </w:rPr>
              <w:t>5</w:t>
            </w:r>
            <w:r>
              <w:rPr>
                <w:rFonts w:hint="eastAsia" w:ascii="仿宋_GB2312" w:hAnsi="宋体" w:eastAsia="仿宋_GB2312" w:cs="宋体"/>
                <w:sz w:val="24"/>
                <w:szCs w:val="24"/>
                <w:lang w:val="en-US" w:eastAsia="zh-CN"/>
              </w:rPr>
              <w:t>-</w:t>
            </w:r>
            <w:r>
              <w:rPr>
                <w:rFonts w:hint="eastAsia" w:ascii="仿宋_GB2312" w:eastAsia="仿宋_GB2312" w:cs="宋体"/>
                <w:sz w:val="24"/>
                <w:szCs w:val="24"/>
                <w:lang w:val="en-US" w:eastAsia="zh-CN"/>
              </w:rPr>
              <w:t>8</w:t>
            </w:r>
            <w:r>
              <w:rPr>
                <w:rFonts w:hint="eastAsia" w:ascii="仿宋_GB2312" w:hAnsi="宋体" w:eastAsia="仿宋_GB2312" w:cs="宋体"/>
                <w:sz w:val="24"/>
                <w:szCs w:val="24"/>
                <w:lang w:val="en-US" w:eastAsia="zh-CN"/>
              </w:rPr>
              <w:t>分：满足2人驻场，但人员经验证明不足；</w:t>
            </w:r>
            <w:r>
              <w:rPr>
                <w:rFonts w:hint="eastAsia" w:ascii="仿宋_GB2312" w:hAnsi="宋体" w:eastAsia="仿宋_GB2312" w:cs="宋体"/>
                <w:sz w:val="24"/>
                <w:szCs w:val="24"/>
                <w:lang w:val="en-US" w:eastAsia="zh-CN"/>
              </w:rPr>
              <w:br w:type="textWrapping"/>
            </w:r>
            <w:r>
              <w:rPr>
                <w:rFonts w:hint="eastAsia" w:ascii="仿宋_GB2312" w:hAnsi="宋体" w:eastAsia="仿宋_GB2312" w:cs="宋体"/>
                <w:sz w:val="24"/>
                <w:szCs w:val="24"/>
                <w:lang w:val="en-US" w:eastAsia="zh-CN"/>
              </w:rPr>
              <w:t>0-</w:t>
            </w:r>
            <w:r>
              <w:rPr>
                <w:rFonts w:hint="eastAsia" w:ascii="仿宋_GB2312" w:eastAsia="仿宋_GB2312" w:cs="宋体"/>
                <w:sz w:val="24"/>
                <w:szCs w:val="24"/>
                <w:lang w:val="en-US" w:eastAsia="zh-CN"/>
              </w:rPr>
              <w:t>4</w:t>
            </w:r>
            <w:r>
              <w:rPr>
                <w:rFonts w:hint="eastAsia" w:ascii="仿宋_GB2312" w:hAnsi="宋体" w:eastAsia="仿宋_GB2312" w:cs="宋体"/>
                <w:sz w:val="24"/>
                <w:szCs w:val="24"/>
                <w:lang w:val="en-US" w:eastAsia="zh-CN"/>
              </w:rPr>
              <w:t>分：驻场人员不足2人，或无</w:t>
            </w:r>
            <w:r>
              <w:rPr>
                <w:rFonts w:hint="eastAsia" w:ascii="仿宋_GB2312" w:eastAsia="仿宋_GB2312" w:cs="宋体"/>
                <w:sz w:val="24"/>
                <w:szCs w:val="24"/>
                <w:lang w:val="en-US" w:eastAsia="zh-CN"/>
              </w:rPr>
              <w:t>相关从业经验</w:t>
            </w:r>
          </w:p>
        </w:tc>
        <w:tc>
          <w:tcPr>
            <w:tcW w:w="1680" w:type="dxa"/>
            <w:shd w:val="clear" w:color="auto" w:fill="auto"/>
            <w:vAlign w:val="center"/>
          </w:tcPr>
          <w:p w14:paraId="0B7121C5">
            <w:pPr>
              <w:pStyle w:val="23"/>
              <w:spacing w:line="300" w:lineRule="exact"/>
              <w:ind w:firstLine="0" w:firstLineChars="0"/>
              <w:jc w:val="left"/>
              <w:rPr>
                <w:rFonts w:hint="default" w:ascii="仿宋_GB2312" w:hAnsi="宋体" w:eastAsia="仿宋_GB2312"/>
                <w:szCs w:val="24"/>
                <w:lang w:val="en-US" w:eastAsia="zh-CN"/>
              </w:rPr>
            </w:pPr>
            <w:r>
              <w:rPr>
                <w:rFonts w:hint="eastAsia" w:ascii="仿宋_GB2312" w:hAnsi="宋体" w:eastAsia="仿宋_GB2312" w:cs="宋体"/>
                <w:sz w:val="24"/>
                <w:szCs w:val="24"/>
                <w:lang w:val="en-US" w:eastAsia="zh-CN"/>
              </w:rPr>
              <w:t>维保人员证件、社保/从业证明、人员管理机制</w:t>
            </w:r>
          </w:p>
        </w:tc>
        <w:tc>
          <w:tcPr>
            <w:tcW w:w="1067" w:type="dxa"/>
            <w:shd w:val="clear" w:color="auto" w:fill="auto"/>
            <w:vAlign w:val="center"/>
          </w:tcPr>
          <w:p w14:paraId="5A740225">
            <w:pPr>
              <w:kinsoku w:val="0"/>
              <w:overflowPunct w:val="0"/>
              <w:adjustRightInd w:val="0"/>
              <w:snapToGrid w:val="0"/>
              <w:spacing w:line="300" w:lineRule="exact"/>
              <w:ind w:left="0" w:leftChars="0" w:firstLine="0" w:firstLineChars="0"/>
              <w:jc w:val="center"/>
              <w:rPr>
                <w:rFonts w:hint="default" w:ascii="仿宋_GB2312" w:hAnsi="宋体" w:eastAsia="仿宋_GB2312"/>
                <w:szCs w:val="24"/>
                <w:lang w:val="en-US" w:eastAsia="zh-CN"/>
              </w:rPr>
            </w:pPr>
            <w:r>
              <w:rPr>
                <w:rFonts w:hint="eastAsia" w:ascii="仿宋_GB2312" w:hAnsi="宋体" w:eastAsia="仿宋_GB2312"/>
                <w:color w:val="000000" w:themeColor="text1"/>
                <w:szCs w:val="24"/>
                <w:lang w:val="en-US" w:eastAsia="zh-CN"/>
                <w14:textFill>
                  <w14:solidFill>
                    <w14:schemeClr w14:val="tx1"/>
                  </w14:solidFill>
                </w14:textFill>
              </w:rPr>
              <w:t>10</w:t>
            </w:r>
            <w:r>
              <w:rPr>
                <w:rFonts w:hint="eastAsia" w:ascii="仿宋_GB2312" w:hAnsi="宋体" w:eastAsia="仿宋_GB2312"/>
                <w:szCs w:val="24"/>
              </w:rPr>
              <w:t>分</w:t>
            </w:r>
          </w:p>
        </w:tc>
      </w:tr>
      <w:tr w14:paraId="485A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859" w:type="dxa"/>
            <w:shd w:val="clear" w:color="auto" w:fill="auto"/>
            <w:vAlign w:val="center"/>
          </w:tcPr>
          <w:p w14:paraId="10B4FB61">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lang w:val="en-US" w:eastAsia="zh-CN"/>
              </w:rPr>
            </w:pPr>
            <w:r>
              <w:rPr>
                <w:rFonts w:hint="eastAsia" w:ascii="仿宋_GB2312" w:hAnsi="宋体" w:eastAsia="仿宋_GB2312"/>
                <w:szCs w:val="24"/>
                <w:lang w:val="en-US" w:eastAsia="zh-CN"/>
              </w:rPr>
              <w:t>5</w:t>
            </w:r>
          </w:p>
        </w:tc>
        <w:tc>
          <w:tcPr>
            <w:tcW w:w="1260" w:type="dxa"/>
            <w:shd w:val="clear" w:color="auto" w:fill="auto"/>
            <w:vAlign w:val="center"/>
          </w:tcPr>
          <w:p w14:paraId="18EDD722">
            <w:pPr>
              <w:pStyle w:val="23"/>
              <w:spacing w:line="300" w:lineRule="exact"/>
              <w:ind w:firstLine="0" w:firstLineChars="0"/>
              <w:jc w:val="left"/>
              <w:rPr>
                <w:rFonts w:hint="default"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增值服务配套</w:t>
            </w:r>
          </w:p>
        </w:tc>
        <w:tc>
          <w:tcPr>
            <w:tcW w:w="4485" w:type="dxa"/>
            <w:shd w:val="clear" w:color="auto" w:fill="auto"/>
            <w:vAlign w:val="center"/>
          </w:tcPr>
          <w:p w14:paraId="4D54CBFF">
            <w:pPr>
              <w:pStyle w:val="23"/>
              <w:spacing w:line="300" w:lineRule="exact"/>
              <w:ind w:firstLine="0" w:firstLineChars="0"/>
              <w:jc w:val="left"/>
              <w:rPr>
                <w:rFonts w:hint="eastAsia" w:ascii="仿宋_GB2312" w:hAnsi="宋体" w:eastAsia="仿宋_GB2312" w:cs="宋体"/>
                <w:sz w:val="24"/>
                <w:szCs w:val="24"/>
                <w:lang w:val="en-US" w:eastAsia="zh-CN"/>
              </w:rPr>
            </w:pPr>
            <w:r>
              <w:rPr>
                <w:rFonts w:hint="eastAsia" w:ascii="仿宋_GB2312" w:eastAsia="仿宋_GB2312" w:cs="宋体"/>
                <w:sz w:val="24"/>
                <w:szCs w:val="24"/>
                <w:lang w:val="en-US" w:eastAsia="zh-CN"/>
              </w:rPr>
              <w:t>9-</w:t>
            </w:r>
            <w:r>
              <w:rPr>
                <w:rFonts w:hint="eastAsia" w:ascii="仿宋_GB2312" w:hAnsi="宋体" w:eastAsia="仿宋_GB2312" w:cs="宋体"/>
                <w:sz w:val="24"/>
                <w:szCs w:val="24"/>
                <w:lang w:val="en-US" w:eastAsia="zh-CN"/>
              </w:rPr>
              <w:t>10分：全套增值服务：现场易损备件仓、季度车库管理员培训、设备年度健康检测、月度存取车故障专项数据分析报告、原厂设备技术诊断权限；</w:t>
            </w:r>
            <w:r>
              <w:rPr>
                <w:rFonts w:hint="eastAsia" w:ascii="仿宋_GB2312" w:hAnsi="宋体" w:eastAsia="仿宋_GB2312" w:cs="宋体"/>
                <w:sz w:val="24"/>
                <w:szCs w:val="24"/>
                <w:lang w:val="en-US" w:eastAsia="zh-CN"/>
              </w:rPr>
              <w:br w:type="textWrapping"/>
            </w:r>
            <w:r>
              <w:rPr>
                <w:rFonts w:hint="eastAsia" w:ascii="仿宋_GB2312" w:eastAsia="仿宋_GB2312" w:cs="宋体"/>
                <w:sz w:val="24"/>
                <w:szCs w:val="24"/>
                <w:lang w:val="en-US" w:eastAsia="zh-CN"/>
              </w:rPr>
              <w:t>5</w:t>
            </w:r>
            <w:r>
              <w:rPr>
                <w:rFonts w:hint="eastAsia" w:ascii="仿宋_GB2312" w:hAnsi="宋体" w:eastAsia="仿宋_GB2312" w:cs="宋体"/>
                <w:sz w:val="24"/>
                <w:szCs w:val="24"/>
                <w:lang w:val="en-US" w:eastAsia="zh-CN"/>
              </w:rPr>
              <w:t>-</w:t>
            </w:r>
            <w:r>
              <w:rPr>
                <w:rFonts w:hint="eastAsia" w:ascii="仿宋_GB2312" w:eastAsia="仿宋_GB2312" w:cs="宋体"/>
                <w:sz w:val="24"/>
                <w:szCs w:val="24"/>
                <w:lang w:val="en-US" w:eastAsia="zh-CN"/>
              </w:rPr>
              <w:t>8</w:t>
            </w:r>
            <w:r>
              <w:rPr>
                <w:rFonts w:hint="eastAsia" w:ascii="仿宋_GB2312" w:hAnsi="宋体" w:eastAsia="仿宋_GB2312" w:cs="宋体"/>
                <w:sz w:val="24"/>
                <w:szCs w:val="24"/>
                <w:lang w:val="en-US" w:eastAsia="zh-CN"/>
              </w:rPr>
              <w:t>分：具备基础培训、备件储备2项及以上增值服务；</w:t>
            </w:r>
            <w:r>
              <w:rPr>
                <w:rFonts w:hint="eastAsia" w:ascii="仿宋_GB2312" w:hAnsi="宋体" w:eastAsia="仿宋_GB2312" w:cs="宋体"/>
                <w:sz w:val="24"/>
                <w:szCs w:val="24"/>
                <w:lang w:val="en-US" w:eastAsia="zh-CN"/>
              </w:rPr>
              <w:br w:type="textWrapping"/>
            </w:r>
            <w:r>
              <w:rPr>
                <w:rFonts w:hint="eastAsia" w:ascii="仿宋_GB2312" w:hAnsi="宋体" w:eastAsia="仿宋_GB2312" w:cs="宋体"/>
                <w:sz w:val="24"/>
                <w:szCs w:val="24"/>
                <w:lang w:val="en-US" w:eastAsia="zh-CN"/>
              </w:rPr>
              <w:t>0-</w:t>
            </w:r>
            <w:r>
              <w:rPr>
                <w:rFonts w:hint="eastAsia" w:ascii="仿宋_GB2312" w:eastAsia="仿宋_GB2312" w:cs="宋体"/>
                <w:sz w:val="24"/>
                <w:szCs w:val="24"/>
                <w:lang w:val="en-US" w:eastAsia="zh-CN"/>
              </w:rPr>
              <w:t>4</w:t>
            </w:r>
            <w:r>
              <w:rPr>
                <w:rFonts w:hint="eastAsia" w:ascii="仿宋_GB2312" w:hAnsi="宋体" w:eastAsia="仿宋_GB2312" w:cs="宋体"/>
                <w:sz w:val="24"/>
                <w:szCs w:val="24"/>
                <w:lang w:val="en-US" w:eastAsia="zh-CN"/>
              </w:rPr>
              <w:t>分：仅提供基础抢修，无任何增值服务</w:t>
            </w:r>
          </w:p>
        </w:tc>
        <w:tc>
          <w:tcPr>
            <w:tcW w:w="1680" w:type="dxa"/>
            <w:shd w:val="clear" w:color="auto" w:fill="auto"/>
            <w:vAlign w:val="center"/>
          </w:tcPr>
          <w:p w14:paraId="198D9B0B">
            <w:pPr>
              <w:pStyle w:val="23"/>
              <w:spacing w:line="300" w:lineRule="exact"/>
              <w:ind w:firstLine="0" w:firstLineChars="0"/>
              <w:jc w:val="left"/>
              <w:rPr>
                <w:rFonts w:hint="default" w:ascii="仿宋_GB2312" w:hAnsi="宋体" w:eastAsia="仿宋_GB2312"/>
                <w:szCs w:val="24"/>
                <w:lang w:val="en-US" w:eastAsia="zh-CN"/>
              </w:rPr>
            </w:pPr>
            <w:r>
              <w:rPr>
                <w:rFonts w:hint="eastAsia" w:ascii="仿宋_GB2312" w:hAnsi="宋体" w:eastAsia="仿宋_GB2312" w:cs="宋体"/>
                <w:sz w:val="24"/>
                <w:szCs w:val="24"/>
                <w:lang w:val="en-US" w:eastAsia="zh-CN"/>
              </w:rPr>
              <w:t>增值服务实施方案</w:t>
            </w:r>
          </w:p>
        </w:tc>
        <w:tc>
          <w:tcPr>
            <w:tcW w:w="1067" w:type="dxa"/>
            <w:shd w:val="clear" w:color="auto" w:fill="auto"/>
            <w:vAlign w:val="center"/>
          </w:tcPr>
          <w:p w14:paraId="48AAD149">
            <w:pPr>
              <w:kinsoku w:val="0"/>
              <w:overflowPunct w:val="0"/>
              <w:adjustRightInd w:val="0"/>
              <w:snapToGrid w:val="0"/>
              <w:spacing w:line="300" w:lineRule="exact"/>
              <w:ind w:left="0" w:leftChars="0" w:firstLine="0" w:firstLineChars="0"/>
              <w:jc w:val="center"/>
              <w:rPr>
                <w:rFonts w:hint="default" w:ascii="仿宋_GB2312" w:hAnsi="宋体" w:eastAsia="仿宋_GB2312"/>
                <w:szCs w:val="24"/>
                <w:lang w:val="en-US" w:eastAsia="zh-CN"/>
              </w:rPr>
            </w:pPr>
            <w:r>
              <w:rPr>
                <w:rFonts w:hint="eastAsia" w:ascii="仿宋_GB2312" w:hAnsi="宋体" w:eastAsia="仿宋_GB2312"/>
                <w:color w:val="000000" w:themeColor="text1"/>
                <w:szCs w:val="24"/>
                <w:lang w:val="en-US" w:eastAsia="zh-CN"/>
                <w14:textFill>
                  <w14:solidFill>
                    <w14:schemeClr w14:val="tx1"/>
                  </w14:solidFill>
                </w14:textFill>
              </w:rPr>
              <w:t>10</w:t>
            </w:r>
            <w:r>
              <w:rPr>
                <w:rFonts w:hint="eastAsia" w:ascii="仿宋_GB2312" w:hAnsi="宋体" w:eastAsia="仿宋_GB2312"/>
                <w:szCs w:val="24"/>
              </w:rPr>
              <w:t>分</w:t>
            </w:r>
          </w:p>
        </w:tc>
      </w:tr>
      <w:tr w14:paraId="24A3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8284" w:type="dxa"/>
            <w:gridSpan w:val="4"/>
            <w:shd w:val="clear" w:color="auto" w:fill="auto"/>
            <w:vAlign w:val="center"/>
          </w:tcPr>
          <w:p w14:paraId="2C57AB62">
            <w:pPr>
              <w:kinsoku w:val="0"/>
              <w:overflowPunct w:val="0"/>
              <w:adjustRightInd w:val="0"/>
              <w:snapToGrid w:val="0"/>
              <w:spacing w:line="300" w:lineRule="exact"/>
              <w:ind w:firstLine="482"/>
              <w:jc w:val="center"/>
              <w:rPr>
                <w:rFonts w:hint="eastAsia" w:ascii="仿宋_GB2312" w:hAnsi="宋体" w:eastAsia="仿宋_GB2312"/>
                <w:b/>
                <w:szCs w:val="24"/>
              </w:rPr>
            </w:pPr>
            <w:r>
              <w:rPr>
                <w:rFonts w:hint="eastAsia" w:ascii="仿宋_GB2312" w:hAnsi="宋体" w:eastAsia="仿宋_GB2312"/>
                <w:b/>
                <w:szCs w:val="24"/>
              </w:rPr>
              <w:t>合计</w:t>
            </w:r>
          </w:p>
        </w:tc>
        <w:tc>
          <w:tcPr>
            <w:tcW w:w="1067" w:type="dxa"/>
            <w:shd w:val="clear" w:color="auto" w:fill="auto"/>
            <w:vAlign w:val="center"/>
          </w:tcPr>
          <w:p w14:paraId="3A5687C6">
            <w:pPr>
              <w:kinsoku w:val="0"/>
              <w:overflowPunct w:val="0"/>
              <w:adjustRightInd w:val="0"/>
              <w:snapToGrid w:val="0"/>
              <w:spacing w:line="300" w:lineRule="exact"/>
              <w:ind w:left="0" w:leftChars="0" w:firstLine="0" w:firstLineChars="0"/>
              <w:jc w:val="center"/>
              <w:rPr>
                <w:rFonts w:hint="eastAsia" w:ascii="仿宋_GB2312" w:hAnsi="宋体" w:eastAsia="仿宋_GB2312"/>
                <w:szCs w:val="24"/>
              </w:rPr>
            </w:pPr>
            <w:r>
              <w:rPr>
                <w:rFonts w:hint="eastAsia" w:ascii="仿宋_GB2312" w:hAnsi="宋体" w:eastAsia="仿宋_GB2312"/>
                <w:color w:val="000000" w:themeColor="text1"/>
                <w:szCs w:val="24"/>
                <w:lang w:val="en-US" w:eastAsia="zh-CN"/>
                <w14:textFill>
                  <w14:solidFill>
                    <w14:schemeClr w14:val="tx1"/>
                  </w14:solidFill>
                </w14:textFill>
              </w:rPr>
              <w:t>50</w:t>
            </w:r>
            <w:r>
              <w:rPr>
                <w:rFonts w:hint="eastAsia" w:ascii="仿宋_GB2312" w:hAnsi="宋体" w:eastAsia="仿宋_GB2312"/>
                <w:szCs w:val="24"/>
              </w:rPr>
              <w:t>分</w:t>
            </w:r>
          </w:p>
        </w:tc>
      </w:tr>
      <w:bookmarkEnd w:id="6"/>
    </w:tbl>
    <w:p w14:paraId="2F9CE245">
      <w:pPr>
        <w:pStyle w:val="6"/>
        <w:widowControl w:val="0"/>
        <w:kinsoku w:val="0"/>
        <w:overflowPunct w:val="0"/>
        <w:adjustRightInd w:val="0"/>
        <w:snapToGrid w:val="0"/>
        <w:ind w:firstLine="0" w:firstLineChars="0"/>
        <w:jc w:val="left"/>
        <w:rPr>
          <w:rFonts w:hint="eastAsia" w:ascii="仿宋_GB2312" w:hAnsi="宋体" w:eastAsia="仿宋_GB2312"/>
          <w:sz w:val="28"/>
          <w:szCs w:val="28"/>
        </w:rPr>
      </w:pPr>
      <w:r>
        <w:rPr>
          <w:rFonts w:hint="eastAsia" w:ascii="仿宋_GB2312" w:hAnsi="宋体" w:eastAsia="仿宋_GB2312"/>
          <w:sz w:val="28"/>
          <w:szCs w:val="28"/>
        </w:rPr>
        <w:t>注：</w:t>
      </w:r>
    </w:p>
    <w:p w14:paraId="30A13567">
      <w:pPr>
        <w:pStyle w:val="6"/>
        <w:widowControl w:val="0"/>
        <w:kinsoku w:val="0"/>
        <w:overflowPunct w:val="0"/>
        <w:adjustRightInd w:val="0"/>
        <w:snapToGrid w:val="0"/>
        <w:ind w:firstLine="0" w:firstLineChars="0"/>
        <w:jc w:val="left"/>
        <w:rPr>
          <w:rFonts w:hint="eastAsia" w:ascii="仿宋_GB2312" w:hAnsi="宋体" w:eastAsia="仿宋_GB2312"/>
          <w:sz w:val="28"/>
          <w:szCs w:val="28"/>
        </w:rPr>
      </w:pPr>
      <w:r>
        <w:rPr>
          <w:rFonts w:hint="eastAsia" w:ascii="仿宋_GB2312" w:hAnsi="宋体" w:eastAsia="仿宋_GB2312"/>
          <w:sz w:val="28"/>
          <w:szCs w:val="28"/>
        </w:rPr>
        <w:t>1.本表评审依据要求的各项证明文件须编入响应文件。</w:t>
      </w:r>
    </w:p>
    <w:p w14:paraId="338A7D12">
      <w:pPr>
        <w:pStyle w:val="6"/>
        <w:widowControl w:val="0"/>
        <w:kinsoku w:val="0"/>
        <w:overflowPunct w:val="0"/>
        <w:adjustRightInd w:val="0"/>
        <w:snapToGrid w:val="0"/>
        <w:ind w:firstLine="0" w:firstLineChars="0"/>
        <w:jc w:val="left"/>
        <w:rPr>
          <w:rFonts w:hint="eastAsia" w:ascii="仿宋_GB2312" w:hAnsi="宋体" w:eastAsia="仿宋_GB2312"/>
          <w:sz w:val="28"/>
          <w:szCs w:val="28"/>
        </w:rPr>
      </w:pPr>
      <w:r>
        <w:rPr>
          <w:rFonts w:hint="eastAsia" w:ascii="仿宋_GB2312" w:hAnsi="宋体" w:eastAsia="仿宋_GB2312"/>
          <w:sz w:val="28"/>
          <w:szCs w:val="28"/>
        </w:rPr>
        <w:t>2.表中要求提供相关证明文件的内容，响应文件中须明确加以说明并提供，未按要求提供相关文件或说明不清楚或询价小组无法凭所提供的材料判断是否得分的情况，一律作不得分处理。</w:t>
      </w:r>
    </w:p>
    <w:p w14:paraId="451EA4E8">
      <w:pPr>
        <w:pStyle w:val="6"/>
        <w:widowControl w:val="0"/>
        <w:kinsoku w:val="0"/>
        <w:overflowPunct w:val="0"/>
        <w:adjustRightInd w:val="0"/>
        <w:snapToGrid w:val="0"/>
        <w:ind w:firstLine="0" w:firstLineChars="0"/>
        <w:jc w:val="left"/>
        <w:rPr>
          <w:rFonts w:hint="eastAsia" w:ascii="仿宋_GB2312" w:hAnsi="仿宋_GB2312" w:eastAsia="仿宋_GB2312" w:cs="仿宋_GB2312"/>
          <w:sz w:val="32"/>
          <w:szCs w:val="32"/>
          <w:highlight w:val="none"/>
        </w:rPr>
      </w:pPr>
      <w:r>
        <w:rPr>
          <w:rFonts w:hint="eastAsia" w:ascii="仿宋_GB2312" w:hAnsi="宋体" w:eastAsia="仿宋_GB2312"/>
          <w:sz w:val="28"/>
          <w:szCs w:val="28"/>
          <w:lang w:val="en-US" w:eastAsia="zh-CN"/>
        </w:rPr>
        <w:t>3.车库总车位数204个，月度故障率核算公式：月度存取车故障率=当月存取车故障总工单数量÷204×100%。</w:t>
      </w:r>
    </w:p>
    <w:p w14:paraId="368307F0">
      <w:pPr>
        <w:kinsoku w:val="0"/>
        <w:overflowPunct w:val="0"/>
        <w:adjustRightInd w:val="0"/>
        <w:snapToGrid w:val="0"/>
        <w:spacing w:line="360" w:lineRule="auto"/>
        <w:jc w:val="left"/>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3.商务评审标准</w:t>
      </w:r>
    </w:p>
    <w:p w14:paraId="5BD45B33">
      <w:pPr>
        <w:kinsoku w:val="0"/>
        <w:overflowPunct w:val="0"/>
        <w:adjustRightInd w:val="0"/>
        <w:snapToGrid w:val="0"/>
        <w:spacing w:line="360" w:lineRule="auto"/>
        <w:ind w:firstLine="562"/>
        <w:jc w:val="center"/>
        <w:rPr>
          <w:rFonts w:hint="eastAsia" w:ascii="仿宋_GB2312" w:hAnsi="宋体" w:eastAsia="仿宋_GB2312"/>
          <w:b/>
          <w:bCs/>
          <w:sz w:val="28"/>
          <w:szCs w:val="28"/>
        </w:rPr>
      </w:pPr>
      <w:r>
        <w:rPr>
          <w:rFonts w:hint="eastAsia" w:ascii="仿宋_GB2312" w:hAnsi="宋体" w:eastAsia="仿宋_GB2312"/>
          <w:b/>
          <w:bCs/>
          <w:sz w:val="28"/>
          <w:szCs w:val="28"/>
        </w:rPr>
        <w:t>《商务评审标准》</w:t>
      </w:r>
    </w:p>
    <w:tbl>
      <w:tblPr>
        <w:tblStyle w:val="13"/>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395"/>
        <w:gridCol w:w="3984"/>
        <w:gridCol w:w="1590"/>
        <w:gridCol w:w="966"/>
      </w:tblGrid>
      <w:tr w14:paraId="4EAD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3" w:hRule="atLeast"/>
          <w:tblHeader/>
          <w:jc w:val="center"/>
        </w:trPr>
        <w:tc>
          <w:tcPr>
            <w:tcW w:w="943" w:type="dxa"/>
            <w:shd w:val="clear" w:color="auto" w:fill="auto"/>
            <w:vAlign w:val="center"/>
          </w:tcPr>
          <w:p w14:paraId="7CBBABA2">
            <w:pPr>
              <w:kinsoku w:val="0"/>
              <w:overflowPunct w:val="0"/>
              <w:adjustRightInd w:val="0"/>
              <w:snapToGrid w:val="0"/>
              <w:spacing w:line="360" w:lineRule="exact"/>
              <w:ind w:firstLine="0" w:firstLineChars="0"/>
              <w:jc w:val="center"/>
              <w:rPr>
                <w:rFonts w:hint="eastAsia" w:ascii="仿宋_GB2312" w:hAnsi="宋体" w:eastAsia="仿宋_GB2312"/>
                <w:b/>
                <w:szCs w:val="24"/>
              </w:rPr>
            </w:pPr>
            <w:bookmarkStart w:id="7" w:name="_Hlk65568776"/>
            <w:r>
              <w:rPr>
                <w:rFonts w:hint="eastAsia" w:ascii="仿宋_GB2312" w:hAnsi="宋体" w:eastAsia="仿宋_GB2312"/>
                <w:b/>
                <w:szCs w:val="24"/>
              </w:rPr>
              <w:t>序号</w:t>
            </w:r>
          </w:p>
        </w:tc>
        <w:tc>
          <w:tcPr>
            <w:tcW w:w="1395" w:type="dxa"/>
            <w:shd w:val="clear" w:color="auto" w:fill="auto"/>
            <w:vAlign w:val="center"/>
          </w:tcPr>
          <w:p w14:paraId="46B46C93">
            <w:pPr>
              <w:kinsoku w:val="0"/>
              <w:overflowPunct w:val="0"/>
              <w:adjustRightInd w:val="0"/>
              <w:snapToGrid w:val="0"/>
              <w:spacing w:line="360" w:lineRule="exact"/>
              <w:ind w:firstLine="0" w:firstLineChars="0"/>
              <w:jc w:val="center"/>
              <w:rPr>
                <w:rFonts w:hint="eastAsia" w:ascii="仿宋_GB2312" w:hAnsi="宋体" w:eastAsia="仿宋_GB2312"/>
                <w:b/>
                <w:szCs w:val="24"/>
              </w:rPr>
            </w:pPr>
            <w:r>
              <w:rPr>
                <w:rFonts w:hint="eastAsia" w:ascii="仿宋_GB2312" w:hAnsi="宋体" w:eastAsia="仿宋_GB2312"/>
                <w:b/>
                <w:szCs w:val="24"/>
              </w:rPr>
              <w:t>评审项目</w:t>
            </w:r>
          </w:p>
        </w:tc>
        <w:tc>
          <w:tcPr>
            <w:tcW w:w="3984" w:type="dxa"/>
            <w:shd w:val="clear" w:color="auto" w:fill="auto"/>
            <w:vAlign w:val="center"/>
          </w:tcPr>
          <w:p w14:paraId="12B60DA9">
            <w:pPr>
              <w:kinsoku w:val="0"/>
              <w:overflowPunct w:val="0"/>
              <w:adjustRightInd w:val="0"/>
              <w:snapToGrid w:val="0"/>
              <w:spacing w:line="360" w:lineRule="exact"/>
              <w:ind w:firstLine="0" w:firstLineChars="0"/>
              <w:jc w:val="center"/>
              <w:rPr>
                <w:rFonts w:hint="eastAsia" w:ascii="仿宋_GB2312" w:hAnsi="宋体" w:eastAsia="仿宋_GB2312"/>
                <w:b/>
                <w:szCs w:val="24"/>
              </w:rPr>
            </w:pPr>
            <w:r>
              <w:rPr>
                <w:rFonts w:hint="eastAsia" w:ascii="仿宋_GB2312" w:hAnsi="宋体" w:eastAsia="仿宋_GB2312"/>
                <w:b/>
                <w:szCs w:val="24"/>
              </w:rPr>
              <w:t>评审标准</w:t>
            </w:r>
          </w:p>
        </w:tc>
        <w:tc>
          <w:tcPr>
            <w:tcW w:w="1590" w:type="dxa"/>
            <w:shd w:val="clear" w:color="auto" w:fill="auto"/>
            <w:vAlign w:val="center"/>
          </w:tcPr>
          <w:p w14:paraId="6D36C018">
            <w:pPr>
              <w:kinsoku w:val="0"/>
              <w:overflowPunct w:val="0"/>
              <w:adjustRightInd w:val="0"/>
              <w:snapToGrid w:val="0"/>
              <w:spacing w:line="360" w:lineRule="exact"/>
              <w:ind w:firstLine="0" w:firstLineChars="0"/>
              <w:jc w:val="center"/>
              <w:rPr>
                <w:rFonts w:hint="eastAsia" w:ascii="仿宋_GB2312" w:hAnsi="宋体" w:eastAsia="仿宋_GB2312"/>
                <w:b/>
                <w:szCs w:val="24"/>
              </w:rPr>
            </w:pPr>
            <w:r>
              <w:rPr>
                <w:rFonts w:hint="eastAsia" w:ascii="仿宋_GB2312" w:hAnsi="宋体" w:eastAsia="仿宋_GB2312"/>
                <w:b/>
                <w:szCs w:val="24"/>
              </w:rPr>
              <w:t>证明材料</w:t>
            </w:r>
          </w:p>
        </w:tc>
        <w:tc>
          <w:tcPr>
            <w:tcW w:w="966" w:type="dxa"/>
            <w:shd w:val="clear" w:color="auto" w:fill="auto"/>
            <w:vAlign w:val="center"/>
          </w:tcPr>
          <w:p w14:paraId="68743F4B">
            <w:pPr>
              <w:kinsoku w:val="0"/>
              <w:overflowPunct w:val="0"/>
              <w:adjustRightInd w:val="0"/>
              <w:snapToGrid w:val="0"/>
              <w:spacing w:line="360" w:lineRule="exact"/>
              <w:ind w:firstLine="0" w:firstLineChars="0"/>
              <w:jc w:val="center"/>
              <w:rPr>
                <w:rFonts w:hint="eastAsia" w:ascii="仿宋_GB2312" w:hAnsi="宋体" w:eastAsia="仿宋_GB2312"/>
                <w:b/>
                <w:szCs w:val="24"/>
              </w:rPr>
            </w:pPr>
            <w:r>
              <w:rPr>
                <w:rFonts w:hint="eastAsia" w:ascii="仿宋_GB2312" w:hAnsi="宋体" w:eastAsia="仿宋_GB2312"/>
                <w:b/>
                <w:szCs w:val="24"/>
              </w:rPr>
              <w:t>分值</w:t>
            </w:r>
          </w:p>
        </w:tc>
      </w:tr>
      <w:tr w14:paraId="4910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943" w:type="dxa"/>
            <w:shd w:val="clear" w:color="auto" w:fill="auto"/>
            <w:vAlign w:val="center"/>
          </w:tcPr>
          <w:p w14:paraId="60DA036F">
            <w:pPr>
              <w:kinsoku w:val="0"/>
              <w:overflowPunct w:val="0"/>
              <w:adjustRightInd w:val="0"/>
              <w:snapToGrid w:val="0"/>
              <w:spacing w:line="360" w:lineRule="exact"/>
              <w:ind w:left="0" w:leftChars="0" w:firstLine="0" w:firstLineChars="0"/>
              <w:jc w:val="center"/>
              <w:rPr>
                <w:rFonts w:hint="eastAsia" w:ascii="仿宋_GB2312" w:hAnsi="宋体" w:eastAsia="仿宋_GB2312"/>
                <w:szCs w:val="24"/>
              </w:rPr>
            </w:pPr>
            <w:r>
              <w:rPr>
                <w:rFonts w:hint="eastAsia" w:ascii="仿宋_GB2312" w:hAnsi="宋体" w:eastAsia="仿宋_GB2312"/>
                <w:szCs w:val="24"/>
              </w:rPr>
              <w:t>1</w:t>
            </w:r>
          </w:p>
        </w:tc>
        <w:tc>
          <w:tcPr>
            <w:tcW w:w="1395" w:type="dxa"/>
            <w:shd w:val="clear" w:color="auto" w:fill="auto"/>
            <w:vAlign w:val="center"/>
          </w:tcPr>
          <w:p w14:paraId="26C29CC2">
            <w:pPr>
              <w:kinsoku w:val="0"/>
              <w:overflowPunct w:val="0"/>
              <w:adjustRightInd w:val="0"/>
              <w:snapToGrid w:val="0"/>
              <w:spacing w:line="360" w:lineRule="exact"/>
              <w:ind w:firstLine="0" w:firstLineChars="0"/>
              <w:jc w:val="center"/>
              <w:rPr>
                <w:rFonts w:hint="eastAsia" w:ascii="仿宋_GB2312" w:hAnsi="宋体" w:eastAsia="仿宋_GB2312"/>
                <w:szCs w:val="24"/>
              </w:rPr>
            </w:pPr>
            <w:r>
              <w:rPr>
                <w:rFonts w:hint="eastAsia" w:ascii="仿宋_GB2312" w:hAnsi="宋体" w:eastAsia="仿宋_GB2312"/>
                <w:color w:val="000000" w:themeColor="text1"/>
                <w:szCs w:val="24"/>
                <w14:textFill>
                  <w14:solidFill>
                    <w14:schemeClr w14:val="tx1"/>
                  </w14:solidFill>
                </w14:textFill>
              </w:rPr>
              <w:t>同类型业绩</w:t>
            </w:r>
          </w:p>
        </w:tc>
        <w:tc>
          <w:tcPr>
            <w:tcW w:w="3984" w:type="dxa"/>
            <w:shd w:val="clear" w:color="auto" w:fill="auto"/>
            <w:vAlign w:val="center"/>
          </w:tcPr>
          <w:p w14:paraId="13047361">
            <w:pPr>
              <w:kinsoku w:val="0"/>
              <w:overflowPunct w:val="0"/>
              <w:adjustRightInd w:val="0"/>
              <w:snapToGrid w:val="0"/>
              <w:spacing w:line="360" w:lineRule="exact"/>
              <w:ind w:left="0" w:leftChars="0" w:firstLine="0" w:firstLineChars="0"/>
              <w:jc w:val="both"/>
              <w:rPr>
                <w:rFonts w:hint="eastAsia" w:ascii="仿宋_GB2312" w:hAnsi="宋体" w:eastAsia="仿宋_GB2312"/>
                <w:szCs w:val="24"/>
              </w:rPr>
            </w:pPr>
            <w:r>
              <w:rPr>
                <w:rFonts w:hint="eastAsia" w:ascii="仿宋_GB2312" w:hAnsi="宋体" w:eastAsia="仿宋_GB2312"/>
                <w:color w:val="000000" w:themeColor="text1"/>
                <w:szCs w:val="24"/>
                <w14:textFill>
                  <w14:solidFill>
                    <w14:schemeClr w14:val="tx1"/>
                  </w14:solidFill>
                </w14:textFill>
              </w:rPr>
              <w:t>响应人自2023年1月1日以来（以合同签订日期为准，合同签订日期要求在2023年1月1日至评审之日之间）（注：提供合同复印件或中标通知书复印件加盖公章，原件备查，以上要求明确的信息不得遮盖，遮盖无效。不清晰或未提供不得分）。根据提供的同类项目业绩情况进行打分。每提供一项得4分，合计最高得20分（注：业绩材料限5份，超过5份的以前5份为准）。</w:t>
            </w:r>
          </w:p>
        </w:tc>
        <w:tc>
          <w:tcPr>
            <w:tcW w:w="1590" w:type="dxa"/>
            <w:shd w:val="clear" w:color="auto" w:fill="auto"/>
            <w:vAlign w:val="center"/>
          </w:tcPr>
          <w:p w14:paraId="2CCB0CDB">
            <w:pPr>
              <w:kinsoku w:val="0"/>
              <w:overflowPunct w:val="0"/>
              <w:adjustRightInd w:val="0"/>
              <w:snapToGrid w:val="0"/>
              <w:spacing w:line="360" w:lineRule="exact"/>
              <w:ind w:left="0" w:leftChars="0" w:firstLine="0" w:firstLineChars="0"/>
              <w:jc w:val="both"/>
              <w:rPr>
                <w:rFonts w:hint="eastAsia" w:ascii="仿宋_GB2312" w:hAnsi="宋体" w:eastAsia="仿宋_GB2312"/>
                <w:szCs w:val="24"/>
              </w:rPr>
            </w:pPr>
            <w:r>
              <w:rPr>
                <w:rFonts w:hint="eastAsia" w:ascii="仿宋_GB2312" w:hAnsi="宋体" w:eastAsia="仿宋_GB2312"/>
                <w:color w:val="000000" w:themeColor="text1"/>
                <w:szCs w:val="24"/>
                <w14:textFill>
                  <w14:solidFill>
                    <w14:schemeClr w14:val="tx1"/>
                  </w14:solidFill>
                </w14:textFill>
              </w:rPr>
              <w:t>供应商过往项目经验证明材料</w:t>
            </w:r>
          </w:p>
        </w:tc>
        <w:tc>
          <w:tcPr>
            <w:tcW w:w="966" w:type="dxa"/>
            <w:shd w:val="clear" w:color="auto" w:fill="auto"/>
            <w:vAlign w:val="center"/>
          </w:tcPr>
          <w:p w14:paraId="04B90561">
            <w:pPr>
              <w:kinsoku w:val="0"/>
              <w:overflowPunct w:val="0"/>
              <w:adjustRightInd w:val="0"/>
              <w:snapToGrid w:val="0"/>
              <w:spacing w:line="360" w:lineRule="exact"/>
              <w:ind w:left="0" w:leftChars="0" w:firstLine="0" w:firstLineChars="0"/>
              <w:jc w:val="both"/>
              <w:rPr>
                <w:rFonts w:hint="eastAsia" w:ascii="仿宋_GB2312" w:hAnsi="宋体" w:eastAsia="仿宋_GB2312"/>
                <w:szCs w:val="24"/>
              </w:rPr>
            </w:pPr>
            <w:r>
              <w:rPr>
                <w:rFonts w:hint="eastAsia" w:ascii="仿宋_GB2312" w:hAnsi="宋体" w:eastAsia="仿宋_GB2312"/>
                <w:color w:val="000000" w:themeColor="text1"/>
                <w:szCs w:val="24"/>
                <w:lang w:val="en-US" w:eastAsia="zh-CN"/>
                <w14:textFill>
                  <w14:solidFill>
                    <w14:schemeClr w14:val="tx1"/>
                  </w14:solidFill>
                </w14:textFill>
              </w:rPr>
              <w:t>20</w:t>
            </w:r>
            <w:r>
              <w:rPr>
                <w:rFonts w:hint="eastAsia" w:ascii="仿宋_GB2312" w:hAnsi="宋体" w:eastAsia="仿宋_GB2312"/>
                <w:szCs w:val="24"/>
              </w:rPr>
              <w:t>分</w:t>
            </w:r>
          </w:p>
        </w:tc>
      </w:tr>
      <w:tr w14:paraId="1AB2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912" w:type="dxa"/>
            <w:gridSpan w:val="4"/>
            <w:shd w:val="clear" w:color="auto" w:fill="auto"/>
            <w:vAlign w:val="center"/>
          </w:tcPr>
          <w:p w14:paraId="5F503F08">
            <w:pPr>
              <w:kinsoku w:val="0"/>
              <w:overflowPunct w:val="0"/>
              <w:adjustRightInd w:val="0"/>
              <w:snapToGrid w:val="0"/>
              <w:spacing w:line="240" w:lineRule="exact"/>
              <w:ind w:firstLine="562"/>
              <w:jc w:val="center"/>
              <w:rPr>
                <w:rFonts w:hint="eastAsia" w:ascii="仿宋_GB2312" w:hAnsi="宋体" w:eastAsia="仿宋_GB2312"/>
                <w:b/>
                <w:sz w:val="28"/>
                <w:szCs w:val="28"/>
              </w:rPr>
            </w:pPr>
            <w:r>
              <w:rPr>
                <w:rFonts w:hint="eastAsia" w:ascii="仿宋_GB2312" w:hAnsi="宋体" w:eastAsia="仿宋_GB2312"/>
                <w:b/>
                <w:sz w:val="24"/>
                <w:szCs w:val="24"/>
              </w:rPr>
              <w:t>合计</w:t>
            </w:r>
          </w:p>
        </w:tc>
        <w:tc>
          <w:tcPr>
            <w:tcW w:w="966" w:type="dxa"/>
            <w:shd w:val="clear" w:color="auto" w:fill="auto"/>
            <w:vAlign w:val="center"/>
          </w:tcPr>
          <w:p w14:paraId="248EF0A5">
            <w:pPr>
              <w:kinsoku w:val="0"/>
              <w:overflowPunct w:val="0"/>
              <w:adjustRightInd w:val="0"/>
              <w:snapToGrid w:val="0"/>
              <w:spacing w:line="240" w:lineRule="exact"/>
              <w:ind w:left="0" w:leftChars="0" w:firstLine="0" w:firstLineChars="0"/>
              <w:jc w:val="both"/>
              <w:rPr>
                <w:rFonts w:hint="eastAsia" w:ascii="仿宋_GB2312" w:hAnsi="宋体" w:eastAsia="仿宋_GB2312"/>
                <w:sz w:val="28"/>
                <w:szCs w:val="28"/>
              </w:rPr>
            </w:pPr>
            <w:r>
              <w:rPr>
                <w:rFonts w:hint="eastAsia" w:ascii="仿宋_GB2312" w:hAnsi="宋体" w:eastAsia="仿宋_GB2312"/>
                <w:color w:val="000000" w:themeColor="text1"/>
                <w:sz w:val="24"/>
                <w:szCs w:val="24"/>
                <w:lang w:val="en-US" w:eastAsia="zh-CN"/>
                <w14:textFill>
                  <w14:solidFill>
                    <w14:schemeClr w14:val="tx1"/>
                  </w14:solidFill>
                </w14:textFill>
              </w:rPr>
              <w:t>20</w:t>
            </w:r>
            <w:r>
              <w:rPr>
                <w:rFonts w:hint="eastAsia" w:ascii="仿宋_GB2312" w:hAnsi="宋体" w:eastAsia="仿宋_GB2312"/>
                <w:sz w:val="24"/>
                <w:szCs w:val="24"/>
              </w:rPr>
              <w:t>分</w:t>
            </w:r>
          </w:p>
        </w:tc>
      </w:tr>
      <w:bookmarkEnd w:id="7"/>
    </w:tbl>
    <w:p w14:paraId="56DCC387">
      <w:pPr>
        <w:pStyle w:val="6"/>
        <w:widowControl w:val="0"/>
        <w:kinsoku w:val="0"/>
        <w:overflowPunct w:val="0"/>
        <w:adjustRightInd w:val="0"/>
        <w:snapToGrid w:val="0"/>
        <w:ind w:firstLine="0" w:firstLineChars="0"/>
        <w:jc w:val="left"/>
        <w:rPr>
          <w:rFonts w:hint="eastAsia" w:ascii="仿宋_GB2312" w:hAnsi="宋体" w:eastAsia="仿宋_GB2312"/>
          <w:sz w:val="28"/>
          <w:szCs w:val="28"/>
        </w:rPr>
      </w:pPr>
      <w:r>
        <w:rPr>
          <w:rFonts w:hint="eastAsia" w:ascii="仿宋_GB2312" w:hAnsi="宋体" w:eastAsia="仿宋_GB2312"/>
          <w:sz w:val="28"/>
          <w:szCs w:val="28"/>
        </w:rPr>
        <w:t>注：</w:t>
      </w:r>
    </w:p>
    <w:p w14:paraId="6E45E4C3">
      <w:pPr>
        <w:pStyle w:val="6"/>
        <w:widowControl w:val="0"/>
        <w:kinsoku w:val="0"/>
        <w:overflowPunct w:val="0"/>
        <w:adjustRightInd w:val="0"/>
        <w:snapToGrid w:val="0"/>
        <w:ind w:firstLine="0" w:firstLineChars="0"/>
        <w:jc w:val="left"/>
        <w:rPr>
          <w:rFonts w:hint="eastAsia" w:ascii="仿宋_GB2312" w:hAnsi="宋体" w:eastAsia="仿宋_GB2312"/>
          <w:sz w:val="28"/>
          <w:szCs w:val="28"/>
        </w:rPr>
      </w:pPr>
      <w:r>
        <w:rPr>
          <w:rFonts w:hint="eastAsia" w:ascii="仿宋_GB2312" w:hAnsi="宋体" w:eastAsia="仿宋_GB2312"/>
          <w:sz w:val="28"/>
          <w:szCs w:val="28"/>
        </w:rPr>
        <w:t>1.本表评审依据要求的各项证明文件</w:t>
      </w:r>
      <w:bookmarkStart w:id="8" w:name="_Hlk68083326"/>
      <w:r>
        <w:rPr>
          <w:rFonts w:hint="eastAsia" w:ascii="仿宋_GB2312" w:hAnsi="宋体" w:eastAsia="仿宋_GB2312"/>
          <w:sz w:val="28"/>
          <w:szCs w:val="28"/>
        </w:rPr>
        <w:t>须编入响应文件。</w:t>
      </w:r>
      <w:bookmarkEnd w:id="8"/>
    </w:p>
    <w:p w14:paraId="0A65FB10">
      <w:pPr>
        <w:pStyle w:val="6"/>
        <w:widowControl w:val="0"/>
        <w:kinsoku w:val="0"/>
        <w:overflowPunct w:val="0"/>
        <w:adjustRightInd w:val="0"/>
        <w:snapToGrid w:val="0"/>
        <w:ind w:firstLine="0" w:firstLineChars="0"/>
        <w:jc w:val="left"/>
        <w:rPr>
          <w:rFonts w:hint="eastAsia" w:ascii="仿宋_GB2312" w:hAnsi="宋体" w:eastAsia="仿宋_GB2312"/>
          <w:sz w:val="28"/>
          <w:szCs w:val="28"/>
        </w:rPr>
      </w:pPr>
      <w:r>
        <w:rPr>
          <w:rFonts w:hint="eastAsia" w:ascii="仿宋_GB2312" w:hAnsi="宋体" w:eastAsia="仿宋_GB2312"/>
          <w:sz w:val="28"/>
          <w:szCs w:val="28"/>
        </w:rPr>
        <w:t>2.表中要求提供相关证明文件的内容，响应文件中须明确加以说明并提供，未按要求提供相关文件或说明不清楚或询价小组无法凭所提供的材料判断是否得分的情况，一律作不得分处理。</w:t>
      </w:r>
    </w:p>
    <w:p w14:paraId="67CA839F">
      <w:pPr>
        <w:rPr>
          <w:rFonts w:hint="eastAsia" w:ascii="黑体" w:hAnsi="黑体" w:eastAsia="黑体"/>
          <w:sz w:val="28"/>
          <w:szCs w:val="28"/>
        </w:rPr>
      </w:pPr>
      <w:r>
        <w:rPr>
          <w:rFonts w:hint="eastAsia" w:ascii="黑体" w:hAnsi="黑体" w:eastAsia="黑体"/>
          <w:sz w:val="28"/>
          <w:szCs w:val="28"/>
        </w:rPr>
        <w:t>九、无效响应文件的确认</w:t>
      </w:r>
    </w:p>
    <w:p w14:paraId="5F284E0A">
      <w:pPr>
        <w:rPr>
          <w:rFonts w:hint="eastAsia" w:ascii="仿宋_GB2312" w:eastAsia="仿宋_GB2312"/>
          <w:sz w:val="28"/>
          <w:szCs w:val="28"/>
        </w:rPr>
      </w:pPr>
      <w:r>
        <w:rPr>
          <w:rFonts w:hint="eastAsia" w:ascii="仿宋_GB2312" w:eastAsia="仿宋_GB2312"/>
          <w:sz w:val="28"/>
          <w:szCs w:val="28"/>
        </w:rPr>
        <w:t xml:space="preserve">被认定为未实质性响应询价采购文件的情形： </w:t>
      </w:r>
    </w:p>
    <w:p w14:paraId="2846C953">
      <w:pPr>
        <w:rPr>
          <w:rFonts w:hint="eastAsia" w:ascii="仿宋_GB2312" w:eastAsia="仿宋_GB2312"/>
          <w:sz w:val="28"/>
          <w:szCs w:val="28"/>
        </w:rPr>
      </w:pPr>
      <w:r>
        <w:rPr>
          <w:rFonts w:hint="eastAsia" w:ascii="仿宋_GB2312" w:eastAsia="仿宋_GB2312"/>
          <w:sz w:val="28"/>
          <w:szCs w:val="28"/>
        </w:rPr>
        <w:t>1.响应文件未按要求密封、签署、盖章的；</w:t>
      </w:r>
    </w:p>
    <w:p w14:paraId="3EA63A03">
      <w:pPr>
        <w:rPr>
          <w:rFonts w:hint="eastAsia" w:ascii="仿宋_GB2312" w:eastAsia="仿宋_GB2312"/>
          <w:sz w:val="28"/>
          <w:szCs w:val="28"/>
        </w:rPr>
      </w:pPr>
      <w:r>
        <w:rPr>
          <w:rFonts w:hint="eastAsia" w:ascii="仿宋_GB2312" w:eastAsia="仿宋_GB2312"/>
          <w:sz w:val="28"/>
          <w:szCs w:val="28"/>
        </w:rPr>
        <w:t>2.项目总报价超过本项目最高限价的；</w:t>
      </w:r>
    </w:p>
    <w:p w14:paraId="0A0C5C29">
      <w:pPr>
        <w:rPr>
          <w:rFonts w:hint="eastAsia" w:ascii="仿宋_GB2312" w:eastAsia="仿宋_GB2312"/>
          <w:sz w:val="28"/>
          <w:szCs w:val="28"/>
        </w:rPr>
      </w:pPr>
      <w:r>
        <w:rPr>
          <w:rFonts w:hint="eastAsia" w:ascii="仿宋_GB2312" w:eastAsia="仿宋_GB2312"/>
          <w:sz w:val="28"/>
          <w:szCs w:val="28"/>
        </w:rPr>
        <w:t xml:space="preserve">3.不具备采购文件中规定的资格要求或未按采购文件规定的要求提供资格、资信证明文件的； </w:t>
      </w:r>
    </w:p>
    <w:p w14:paraId="173846EC">
      <w:pPr>
        <w:rPr>
          <w:rFonts w:hint="eastAsia" w:ascii="仿宋_GB2312" w:eastAsia="仿宋_GB2312"/>
          <w:sz w:val="28"/>
          <w:szCs w:val="28"/>
        </w:rPr>
      </w:pPr>
      <w:r>
        <w:rPr>
          <w:rFonts w:hint="eastAsia" w:ascii="仿宋_GB2312" w:eastAsia="仿宋_GB2312"/>
          <w:sz w:val="28"/>
          <w:szCs w:val="28"/>
        </w:rPr>
        <w:t>4.不同响应单位的单位负责人为同一人或者存在直接控股、管理关系的；</w:t>
      </w:r>
    </w:p>
    <w:p w14:paraId="65057DC9">
      <w:pPr>
        <w:rPr>
          <w:rFonts w:hint="eastAsia" w:ascii="仿宋_GB2312" w:eastAsia="仿宋_GB2312"/>
          <w:sz w:val="28"/>
          <w:szCs w:val="28"/>
        </w:rPr>
      </w:pPr>
      <w:r>
        <w:rPr>
          <w:rFonts w:hint="eastAsia" w:ascii="仿宋_GB2312" w:eastAsia="仿宋_GB2312"/>
          <w:sz w:val="28"/>
          <w:szCs w:val="28"/>
        </w:rPr>
        <w:t>5.提供虚假材料的；</w:t>
      </w:r>
    </w:p>
    <w:p w14:paraId="1EB76EC0">
      <w:pPr>
        <w:rPr>
          <w:rFonts w:hint="eastAsia" w:ascii="仿宋_GB2312" w:eastAsia="仿宋_GB2312"/>
          <w:sz w:val="28"/>
          <w:szCs w:val="28"/>
        </w:rPr>
      </w:pPr>
      <w:r>
        <w:rPr>
          <w:rFonts w:hint="eastAsia" w:ascii="仿宋_GB2312" w:eastAsia="仿宋_GB2312"/>
          <w:sz w:val="28"/>
          <w:szCs w:val="28"/>
        </w:rPr>
        <w:t>6.不符合法律、法规和询价文件中规定的其他实质性要求和条件的；</w:t>
      </w:r>
    </w:p>
    <w:p w14:paraId="7E207059">
      <w:pPr>
        <w:rPr>
          <w:rFonts w:hint="eastAsia" w:ascii="仿宋_GB2312" w:eastAsia="仿宋_GB2312"/>
          <w:sz w:val="28"/>
          <w:szCs w:val="28"/>
        </w:rPr>
      </w:pPr>
      <w:r>
        <w:rPr>
          <w:rFonts w:hint="eastAsia" w:ascii="仿宋_GB2312" w:eastAsia="仿宋_GB2312"/>
          <w:sz w:val="28"/>
          <w:szCs w:val="28"/>
        </w:rPr>
        <w:t>7.响应单位报价清单存在漏项或者不按照采购文件报价清单提供的数量填写</w:t>
      </w:r>
      <w:r>
        <w:rPr>
          <w:rFonts w:hint="eastAsia" w:ascii="仿宋_GB2312" w:hAnsi="仿宋" w:eastAsia="仿宋_GB2312"/>
          <w:color w:val="000000" w:themeColor="text1"/>
          <w:sz w:val="28"/>
          <w:szCs w:val="28"/>
          <w14:textFill>
            <w14:solidFill>
              <w14:schemeClr w14:val="tx1"/>
            </w14:solidFill>
          </w14:textFill>
        </w:rPr>
        <w:t>，响应文件中存在有选择的报价；</w:t>
      </w:r>
    </w:p>
    <w:p w14:paraId="3D82F3CE">
      <w:pPr>
        <w:rPr>
          <w:rFonts w:hint="eastAsia" w:ascii="仿宋_GB2312" w:eastAsia="仿宋_GB2312"/>
          <w:sz w:val="28"/>
          <w:szCs w:val="28"/>
        </w:rPr>
      </w:pPr>
      <w:r>
        <w:rPr>
          <w:rFonts w:hint="eastAsia" w:ascii="仿宋_GB2312" w:eastAsia="仿宋_GB2312"/>
          <w:sz w:val="28"/>
          <w:szCs w:val="28"/>
        </w:rPr>
        <w:t>8.价格过低，不能证明合理性的；</w:t>
      </w:r>
    </w:p>
    <w:p w14:paraId="63CFE7D9">
      <w:pPr>
        <w:rPr>
          <w:rFonts w:hint="eastAsia" w:ascii="仿宋_GB2312" w:eastAsia="仿宋_GB2312"/>
          <w:sz w:val="28"/>
          <w:szCs w:val="28"/>
        </w:rPr>
      </w:pPr>
      <w:r>
        <w:rPr>
          <w:rFonts w:hint="eastAsia" w:ascii="仿宋_GB2312" w:eastAsia="仿宋_GB2312"/>
          <w:sz w:val="28"/>
          <w:szCs w:val="28"/>
        </w:rPr>
        <w:t>9.增加不能接受的附加条件。</w:t>
      </w:r>
    </w:p>
    <w:p w14:paraId="39FE4AA5">
      <w:pPr>
        <w:rPr>
          <w:rFonts w:hint="eastAsia" w:ascii="黑体" w:hAnsi="黑体" w:eastAsia="黑体"/>
          <w:sz w:val="28"/>
          <w:szCs w:val="28"/>
        </w:rPr>
      </w:pPr>
      <w:r>
        <w:rPr>
          <w:rFonts w:hint="eastAsia" w:ascii="黑体" w:hAnsi="黑体" w:eastAsia="黑体"/>
          <w:sz w:val="28"/>
          <w:szCs w:val="28"/>
        </w:rPr>
        <w:t>十、符合采购要求的响应单位不足3家的，采购人将重新组织询价或采取其他采购方式。</w:t>
      </w:r>
    </w:p>
    <w:p w14:paraId="6B827B79">
      <w:pPr>
        <w:rPr>
          <w:rFonts w:hint="eastAsia" w:ascii="黑体" w:hAnsi="黑体" w:eastAsia="黑体"/>
          <w:sz w:val="28"/>
          <w:szCs w:val="28"/>
        </w:rPr>
      </w:pPr>
      <w:bookmarkStart w:id="9" w:name="_Hlk161586138"/>
      <w:r>
        <w:rPr>
          <w:rFonts w:hint="eastAsia" w:ascii="黑体" w:hAnsi="黑体" w:eastAsia="黑体"/>
          <w:sz w:val="28"/>
          <w:szCs w:val="28"/>
        </w:rPr>
        <w:t>十一、保密</w:t>
      </w:r>
    </w:p>
    <w:p w14:paraId="07C7C181">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参与采购活动的各方应对采购文件、响应文件以及评审过程中获知的商业、技术、人员等信息保密，违者应对由此造成的后果承担法律责任。</w:t>
      </w:r>
    </w:p>
    <w:p w14:paraId="15571EC0">
      <w:pPr>
        <w:rPr>
          <w:rFonts w:hint="eastAsia" w:ascii="黑体" w:hAnsi="黑体" w:eastAsia="黑体"/>
          <w:sz w:val="28"/>
          <w:szCs w:val="28"/>
        </w:rPr>
      </w:pPr>
      <w:r>
        <w:rPr>
          <w:rFonts w:hint="eastAsia" w:ascii="黑体" w:hAnsi="黑体" w:eastAsia="黑体"/>
          <w:sz w:val="28"/>
          <w:szCs w:val="28"/>
        </w:rPr>
        <w:t>十二、成交通知书</w:t>
      </w:r>
    </w:p>
    <w:p w14:paraId="4A4357A8">
      <w:pPr>
        <w:rPr>
          <w:rFonts w:hint="eastAsia" w:ascii="仿宋_GB2312" w:eastAsia="仿宋_GB2312"/>
          <w:sz w:val="28"/>
          <w:szCs w:val="28"/>
        </w:rPr>
      </w:pPr>
      <w:r>
        <w:rPr>
          <w:rFonts w:hint="eastAsia" w:ascii="仿宋_GB2312" w:hAnsi="宋体" w:eastAsia="仿宋_GB2312"/>
          <w:color w:val="000000" w:themeColor="text1"/>
          <w:sz w:val="28"/>
          <w:szCs w:val="28"/>
          <w14:textFill>
            <w14:solidFill>
              <w14:schemeClr w14:val="tx1"/>
            </w14:solidFill>
          </w14:textFill>
        </w:rPr>
        <w:t>成交供应商确定后，采购人将在5个工作日内通知中选、落选供应商，并向成交供应商发出成交通知。如接到有关投诉，采购人将可能暂停发出成交通知书。</w:t>
      </w:r>
    </w:p>
    <w:bookmarkEnd w:id="9"/>
    <w:p w14:paraId="1486B2CF">
      <w:pPr>
        <w:rPr>
          <w:rFonts w:hint="eastAsia" w:ascii="仿宋_GB2312" w:eastAsia="仿宋_GB2312"/>
          <w:sz w:val="28"/>
          <w:szCs w:val="28"/>
        </w:rPr>
      </w:pPr>
    </w:p>
    <w:p w14:paraId="0E865C76">
      <w:pPr>
        <w:pStyle w:val="2"/>
        <w:ind w:firstLine="720"/>
        <w:rPr>
          <w:rFonts w:hint="eastAsia"/>
        </w:rPr>
      </w:pPr>
      <w:bookmarkStart w:id="10" w:name="_Toc161591785"/>
      <w:r>
        <w:rPr>
          <w:rFonts w:hint="eastAsia"/>
        </w:rPr>
        <w:t>第四章 合同签订及其他</w:t>
      </w:r>
      <w:bookmarkEnd w:id="10"/>
    </w:p>
    <w:p w14:paraId="5395C341">
      <w:pPr>
        <w:ind w:firstLine="480"/>
        <w:rPr>
          <w:rFonts w:hint="eastAsia"/>
        </w:rPr>
      </w:pPr>
    </w:p>
    <w:p w14:paraId="33706AC8">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1.</w:t>
      </w:r>
      <w:r>
        <w:rPr>
          <w:rFonts w:ascii="仿宋_GB2312" w:hAnsi="宋体" w:eastAsia="仿宋_GB2312"/>
          <w:color w:val="000000" w:themeColor="text1"/>
          <w:sz w:val="28"/>
          <w:szCs w:val="28"/>
          <w14:textFill>
            <w14:solidFill>
              <w14:schemeClr w14:val="tx1"/>
            </w14:solidFill>
          </w14:textFill>
        </w:rPr>
        <w:t>采购人和成交供应商应当</w:t>
      </w:r>
      <w:r>
        <w:rPr>
          <w:rFonts w:hint="eastAsia" w:ascii="仿宋_GB2312" w:hAnsi="宋体" w:eastAsia="仿宋_GB2312"/>
          <w:color w:val="000000" w:themeColor="text1"/>
          <w:sz w:val="28"/>
          <w:szCs w:val="28"/>
          <w14:textFill>
            <w14:solidFill>
              <w14:schemeClr w14:val="tx1"/>
            </w14:solidFill>
          </w14:textFill>
        </w:rPr>
        <w:t>自</w:t>
      </w:r>
      <w:r>
        <w:rPr>
          <w:rFonts w:ascii="仿宋_GB2312" w:hAnsi="宋体" w:eastAsia="仿宋_GB2312"/>
          <w:color w:val="000000" w:themeColor="text1"/>
          <w:sz w:val="28"/>
          <w:szCs w:val="28"/>
          <w14:textFill>
            <w14:solidFill>
              <w14:schemeClr w14:val="tx1"/>
            </w14:solidFill>
          </w14:textFill>
        </w:rPr>
        <w:t>成交通知书发出之日起</w:t>
      </w:r>
      <w:r>
        <w:rPr>
          <w:rFonts w:hint="eastAsia" w:ascii="仿宋_GB2312" w:hAnsi="宋体" w:eastAsia="仿宋_GB2312"/>
          <w:color w:val="000000" w:themeColor="text1"/>
          <w:sz w:val="28"/>
          <w:szCs w:val="28"/>
          <w14:textFill>
            <w14:solidFill>
              <w14:schemeClr w14:val="tx1"/>
            </w14:solidFill>
          </w14:textFill>
        </w:rPr>
        <w:t>30</w:t>
      </w:r>
      <w:r>
        <w:rPr>
          <w:rFonts w:ascii="仿宋_GB2312" w:hAnsi="宋体" w:eastAsia="仿宋_GB2312"/>
          <w:color w:val="000000" w:themeColor="text1"/>
          <w:sz w:val="28"/>
          <w:szCs w:val="28"/>
          <w14:textFill>
            <w14:solidFill>
              <w14:schemeClr w14:val="tx1"/>
            </w14:solidFill>
          </w14:textFill>
        </w:rPr>
        <w:t>日内订立书面合同</w:t>
      </w:r>
      <w:r>
        <w:rPr>
          <w:rFonts w:hint="eastAsia" w:ascii="仿宋_GB2312" w:hAnsi="宋体" w:eastAsia="仿宋_GB2312"/>
          <w:color w:val="000000" w:themeColor="text1"/>
          <w:sz w:val="28"/>
          <w:szCs w:val="28"/>
          <w14:textFill>
            <w14:solidFill>
              <w14:schemeClr w14:val="tx1"/>
            </w14:solidFill>
          </w14:textFill>
        </w:rPr>
        <w:t>。采购文件、成交供应商的响应文件及其澄清、修改文件等，均为签订合同的依据。</w:t>
      </w:r>
    </w:p>
    <w:p w14:paraId="7ABD5025">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ascii="仿宋_GB2312" w:hAnsi="宋体" w:eastAsia="仿宋_GB2312"/>
          <w:color w:val="000000" w:themeColor="text1"/>
          <w:sz w:val="28"/>
          <w:szCs w:val="28"/>
          <w14:textFill>
            <w14:solidFill>
              <w14:schemeClr w14:val="tx1"/>
            </w14:solidFill>
          </w14:textFill>
        </w:rPr>
        <w:t>2</w:t>
      </w:r>
      <w:r>
        <w:rPr>
          <w:rFonts w:hint="eastAsia" w:ascii="仿宋_GB2312" w:hAnsi="宋体" w:eastAsia="仿宋_GB2312"/>
          <w:color w:val="000000" w:themeColor="text1"/>
          <w:sz w:val="28"/>
          <w:szCs w:val="28"/>
          <w14:textFill>
            <w14:solidFill>
              <w14:schemeClr w14:val="tx1"/>
            </w14:solidFill>
          </w14:textFill>
        </w:rPr>
        <w:t>.</w:t>
      </w:r>
      <w:bookmarkStart w:id="11" w:name="_Hlk65256787"/>
      <w:r>
        <w:rPr>
          <w:rFonts w:ascii="仿宋_GB2312" w:hAnsi="宋体" w:eastAsia="仿宋_GB2312"/>
          <w:color w:val="000000" w:themeColor="text1"/>
          <w:sz w:val="28"/>
          <w:szCs w:val="28"/>
          <w14:textFill>
            <w14:solidFill>
              <w14:schemeClr w14:val="tx1"/>
            </w14:solidFill>
          </w14:textFill>
        </w:rPr>
        <w:t>成交供应商</w:t>
      </w:r>
      <w:r>
        <w:rPr>
          <w:rFonts w:hint="eastAsia" w:ascii="仿宋_GB2312" w:hAnsi="宋体" w:eastAsia="仿宋_GB2312"/>
          <w:color w:val="000000" w:themeColor="text1"/>
          <w:sz w:val="28"/>
          <w:szCs w:val="28"/>
          <w14:textFill>
            <w14:solidFill>
              <w14:schemeClr w14:val="tx1"/>
            </w14:solidFill>
          </w14:textFill>
        </w:rPr>
        <w:t>存在</w:t>
      </w:r>
      <w:r>
        <w:rPr>
          <w:rFonts w:ascii="仿宋_GB2312" w:hAnsi="宋体" w:eastAsia="仿宋_GB2312"/>
          <w:color w:val="000000" w:themeColor="text1"/>
          <w:sz w:val="28"/>
          <w:szCs w:val="28"/>
          <w14:textFill>
            <w14:solidFill>
              <w14:schemeClr w14:val="tx1"/>
            </w14:solidFill>
          </w14:textFill>
        </w:rPr>
        <w:t>无正当理由拒签合同</w:t>
      </w:r>
      <w:r>
        <w:rPr>
          <w:rFonts w:hint="eastAsia" w:ascii="仿宋_GB2312" w:hAnsi="宋体" w:eastAsia="仿宋_GB2312"/>
          <w:color w:val="000000" w:themeColor="text1"/>
          <w:sz w:val="28"/>
          <w:szCs w:val="28"/>
          <w14:textFill>
            <w14:solidFill>
              <w14:schemeClr w14:val="tx1"/>
            </w14:solidFill>
          </w14:textFill>
        </w:rPr>
        <w:t>、</w:t>
      </w:r>
      <w:r>
        <w:rPr>
          <w:rFonts w:ascii="仿宋_GB2312" w:hAnsi="宋体" w:eastAsia="仿宋_GB2312"/>
          <w:color w:val="000000" w:themeColor="text1"/>
          <w:sz w:val="28"/>
          <w:szCs w:val="28"/>
          <w14:textFill>
            <w14:solidFill>
              <w14:schemeClr w14:val="tx1"/>
            </w14:solidFill>
          </w14:textFill>
        </w:rPr>
        <w:t>在签订合同时向采购人提出附加条件</w:t>
      </w:r>
      <w:bookmarkEnd w:id="11"/>
      <w:r>
        <w:rPr>
          <w:rFonts w:hint="eastAsia" w:ascii="仿宋_GB2312" w:hAnsi="宋体" w:eastAsia="仿宋_GB2312"/>
          <w:color w:val="000000" w:themeColor="text1"/>
          <w:sz w:val="28"/>
          <w:szCs w:val="28"/>
          <w14:textFill>
            <w14:solidFill>
              <w14:schemeClr w14:val="tx1"/>
            </w14:solidFill>
          </w14:textFill>
        </w:rPr>
        <w:t>、被查实存在影响采购结果的违反采购文件要求的行为等情形的，</w:t>
      </w:r>
      <w:r>
        <w:rPr>
          <w:rFonts w:ascii="仿宋_GB2312" w:hAnsi="宋体" w:eastAsia="仿宋_GB2312"/>
          <w:color w:val="000000" w:themeColor="text1"/>
          <w:sz w:val="28"/>
          <w:szCs w:val="28"/>
          <w14:textFill>
            <w14:solidFill>
              <w14:schemeClr w14:val="tx1"/>
            </w14:solidFill>
          </w14:textFill>
        </w:rPr>
        <w:t>采购人有权取消其</w:t>
      </w:r>
      <w:r>
        <w:rPr>
          <w:rFonts w:hint="eastAsia" w:ascii="仿宋_GB2312" w:hAnsi="宋体" w:eastAsia="仿宋_GB2312"/>
          <w:color w:val="000000" w:themeColor="text1"/>
          <w:sz w:val="28"/>
          <w:szCs w:val="28"/>
          <w14:textFill>
            <w14:solidFill>
              <w14:schemeClr w14:val="tx1"/>
            </w14:solidFill>
          </w14:textFill>
        </w:rPr>
        <w:t>成交</w:t>
      </w:r>
      <w:r>
        <w:rPr>
          <w:rFonts w:ascii="仿宋_GB2312" w:hAnsi="宋体" w:eastAsia="仿宋_GB2312"/>
          <w:color w:val="000000" w:themeColor="text1"/>
          <w:sz w:val="28"/>
          <w:szCs w:val="28"/>
          <w14:textFill>
            <w14:solidFill>
              <w14:schemeClr w14:val="tx1"/>
            </w14:solidFill>
          </w14:textFill>
        </w:rPr>
        <w:t>资格，</w:t>
      </w:r>
      <w:r>
        <w:rPr>
          <w:rFonts w:hint="eastAsia" w:ascii="仿宋_GB2312" w:hAnsi="宋体" w:eastAsia="仿宋_GB2312"/>
          <w:color w:val="000000" w:themeColor="text1"/>
          <w:sz w:val="28"/>
          <w:szCs w:val="28"/>
          <w14:textFill>
            <w14:solidFill>
              <w14:schemeClr w14:val="tx1"/>
            </w14:solidFill>
          </w14:textFill>
        </w:rPr>
        <w:t>并根据评审报告确定新的成交供应商，</w:t>
      </w:r>
      <w:r>
        <w:rPr>
          <w:rFonts w:ascii="仿宋_GB2312" w:hAnsi="宋体" w:eastAsia="仿宋_GB2312"/>
          <w:color w:val="000000" w:themeColor="text1"/>
          <w:sz w:val="28"/>
          <w:szCs w:val="28"/>
          <w14:textFill>
            <w14:solidFill>
              <w14:schemeClr w14:val="tx1"/>
            </w14:solidFill>
          </w14:textFill>
        </w:rPr>
        <w:t>给</w:t>
      </w:r>
      <w:r>
        <w:rPr>
          <w:rFonts w:hint="eastAsia" w:ascii="仿宋_GB2312" w:hAnsi="宋体" w:eastAsia="仿宋_GB2312"/>
          <w:color w:val="000000" w:themeColor="text1"/>
          <w:sz w:val="28"/>
          <w:szCs w:val="28"/>
          <w14:textFill>
            <w14:solidFill>
              <w14:schemeClr w14:val="tx1"/>
            </w14:solidFill>
          </w14:textFill>
        </w:rPr>
        <w:t>采购人造成损失的，原成交供应商应当进行赔偿。</w:t>
      </w:r>
    </w:p>
    <w:p w14:paraId="4BB8A54F">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ascii="仿宋_GB2312" w:hAnsi="宋体" w:eastAsia="仿宋_GB2312"/>
          <w:color w:val="000000" w:themeColor="text1"/>
          <w:sz w:val="28"/>
          <w:szCs w:val="28"/>
          <w14:textFill>
            <w14:solidFill>
              <w14:schemeClr w14:val="tx1"/>
            </w14:solidFill>
          </w14:textFill>
        </w:rPr>
        <w:t>3.</w:t>
      </w:r>
      <w:r>
        <w:rPr>
          <w:rFonts w:hint="eastAsia" w:ascii="仿宋_GB2312" w:hAnsi="宋体" w:eastAsia="仿宋_GB2312"/>
          <w:color w:val="000000" w:themeColor="text1"/>
          <w:sz w:val="28"/>
          <w:szCs w:val="28"/>
          <w14:textFill>
            <w14:solidFill>
              <w14:schemeClr w14:val="tx1"/>
            </w14:solidFill>
          </w14:textFill>
        </w:rPr>
        <w:t>供应商应保证所递交的响应文件的真实性，如被证实存在虚假资料的，采购人将根据对采购过程和采购结果的影响程度采取一切合理措施，包括但不限于取消供应商的响应资格、要求供应商赔偿损失等。</w:t>
      </w:r>
    </w:p>
    <w:p w14:paraId="05AAA9EF">
      <w:pPr>
        <w:spacing w:line="360" w:lineRule="auto"/>
        <w:rPr>
          <w:rFonts w:hint="eastAsia" w:ascii="仿宋_GB2312" w:hAnsi="宋体" w:eastAsia="仿宋_GB2312"/>
          <w:color w:val="000000" w:themeColor="text1"/>
          <w:sz w:val="28"/>
          <w:szCs w:val="28"/>
          <w14:textFill>
            <w14:solidFill>
              <w14:schemeClr w14:val="tx1"/>
            </w14:solidFill>
          </w14:textFill>
        </w:rPr>
      </w:pPr>
      <w:r>
        <w:rPr>
          <w:rFonts w:ascii="仿宋_GB2312" w:hAnsi="宋体" w:eastAsia="仿宋_GB2312"/>
          <w:color w:val="000000" w:themeColor="text1"/>
          <w:sz w:val="28"/>
          <w:szCs w:val="28"/>
          <w14:textFill>
            <w14:solidFill>
              <w14:schemeClr w14:val="tx1"/>
            </w14:solidFill>
          </w14:textFill>
        </w:rPr>
        <w:t>4.</w:t>
      </w:r>
      <w:r>
        <w:rPr>
          <w:rFonts w:hint="eastAsia" w:ascii="仿宋_GB2312" w:hAnsi="宋体" w:eastAsia="仿宋_GB2312"/>
          <w:color w:val="000000" w:themeColor="text1"/>
          <w:sz w:val="28"/>
          <w:szCs w:val="28"/>
          <w14:textFill>
            <w14:solidFill>
              <w14:schemeClr w14:val="tx1"/>
            </w14:solidFill>
          </w14:textFill>
        </w:rPr>
        <w:t>供应商不得将提供的服务进行转包、分包。</w:t>
      </w:r>
    </w:p>
    <w:p w14:paraId="7F45EE51">
      <w:pPr>
        <w:ind w:firstLine="480"/>
        <w:rPr>
          <w:rFonts w:hint="eastAsia"/>
        </w:rPr>
      </w:pPr>
    </w:p>
    <w:p w14:paraId="13CACDE1">
      <w:pPr>
        <w:ind w:left="0" w:leftChars="0" w:firstLine="0" w:firstLineChars="0"/>
        <w:jc w:val="center"/>
        <w:rPr>
          <w:rFonts w:hint="eastAsia" w:ascii="宋体" w:hAnsi="宋体" w:cs="宋体"/>
          <w:b/>
          <w:bCs/>
          <w:sz w:val="32"/>
          <w:szCs w:val="32"/>
        </w:rPr>
      </w:pPr>
      <w:bookmarkStart w:id="12" w:name="_Hlk161587913"/>
      <w:r>
        <w:rPr>
          <w:rFonts w:hint="eastAsia" w:ascii="宋体" w:hAnsi="宋体" w:cs="宋体"/>
          <w:b/>
          <w:bCs/>
          <w:sz w:val="32"/>
          <w:szCs w:val="32"/>
          <w:lang w:val="en-US" w:eastAsia="zh-CN"/>
        </w:rPr>
        <w:t>深圳书城龙华城2026年9月10日-2028年9月9日智能车库维保</w:t>
      </w:r>
      <w:r>
        <w:rPr>
          <w:rFonts w:hint="eastAsia" w:ascii="宋体" w:hAnsi="宋体" w:cs="宋体"/>
          <w:b/>
          <w:bCs/>
          <w:sz w:val="32"/>
          <w:szCs w:val="32"/>
        </w:rPr>
        <w:t>采购项目合同草</w:t>
      </w:r>
      <w:r>
        <w:rPr>
          <w:rFonts w:hint="eastAsia" w:ascii="仿宋_GB2312" w:hAnsi="宋体" w:eastAsia="仿宋_GB2312" w:cs="宋体"/>
          <w:b/>
          <w:bCs/>
          <w:kern w:val="0"/>
          <w:sz w:val="32"/>
          <w:szCs w:val="32"/>
        </w:rPr>
        <w:t>本</w:t>
      </w:r>
    </w:p>
    <w:p w14:paraId="46AB987A">
      <w:pPr>
        <w:ind w:firstLine="643"/>
        <w:jc w:val="center"/>
        <w:rPr>
          <w:rFonts w:hint="eastAsia" w:ascii="宋体" w:hAnsi="宋体" w:cs="宋体"/>
          <w:b/>
          <w:bCs/>
          <w:sz w:val="32"/>
          <w:szCs w:val="32"/>
        </w:rPr>
      </w:pPr>
      <w:r>
        <w:rPr>
          <w:rFonts w:ascii="宋体" w:hAnsi="宋体" w:cs="宋体"/>
          <w:b/>
          <w:bCs/>
          <w:sz w:val="32"/>
          <w:szCs w:val="32"/>
        </w:rPr>
        <w:t>（</w:t>
      </w:r>
      <w:r>
        <w:rPr>
          <w:rFonts w:hint="eastAsia" w:ascii="宋体" w:hAnsi="宋体" w:cs="宋体"/>
          <w:b/>
          <w:bCs/>
          <w:sz w:val="32"/>
          <w:szCs w:val="32"/>
        </w:rPr>
        <w:t>以实际签订为准</w:t>
      </w:r>
      <w:r>
        <w:rPr>
          <w:rFonts w:ascii="宋体" w:hAnsi="宋体" w:cs="宋体"/>
          <w:b/>
          <w:bCs/>
          <w:sz w:val="32"/>
          <w:szCs w:val="32"/>
        </w:rPr>
        <w:t>）</w:t>
      </w:r>
    </w:p>
    <w:p w14:paraId="40055A76">
      <w:pPr>
        <w:ind w:firstLine="480"/>
        <w:rPr>
          <w:rFonts w:hint="eastAsia" w:ascii="宋体" w:hAnsi="宋体" w:cs="宋体"/>
          <w:b/>
          <w:szCs w:val="24"/>
        </w:rPr>
      </w:pPr>
      <w:r>
        <w:rPr>
          <w:rFonts w:ascii="Times New Roman" w:hAnsi="Times New Roman" w:cs="Times New Roman"/>
          <w:szCs w:val="24"/>
        </w:rPr>
        <mc:AlternateContent>
          <mc:Choice Requires="wps">
            <w:drawing>
              <wp:anchor distT="0" distB="0" distL="114300" distR="114300" simplePos="0" relativeHeight="251662336" behindDoc="0" locked="0" layoutInCell="1" allowOverlap="1">
                <wp:simplePos x="0" y="0"/>
                <wp:positionH relativeFrom="column">
                  <wp:posOffset>-377190</wp:posOffset>
                </wp:positionH>
                <wp:positionV relativeFrom="paragraph">
                  <wp:posOffset>396875</wp:posOffset>
                </wp:positionV>
                <wp:extent cx="3339465" cy="1742440"/>
                <wp:effectExtent l="0" t="0" r="13335" b="1016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3339465" cy="1742440"/>
                        </a:xfrm>
                        <a:prstGeom prst="rect">
                          <a:avLst/>
                        </a:prstGeom>
                        <a:gradFill rotWithShape="0">
                          <a:gsLst>
                            <a:gs pos="0">
                              <a:srgbClr val="FFFFFF"/>
                            </a:gs>
                            <a:gs pos="100000">
                              <a:srgbClr val="FFFFFF"/>
                            </a:gs>
                          </a:gsLst>
                          <a:lin ang="0"/>
                        </a:gradFill>
                        <a:ln>
                          <a:noFill/>
                        </a:ln>
                        <a:effectLst/>
                      </wps:spPr>
                      <wps:txbx>
                        <w:txbxContent>
                          <w:p w14:paraId="44F181CB">
                            <w:pPr>
                              <w:spacing w:line="300" w:lineRule="exact"/>
                              <w:ind w:firstLine="480"/>
                              <w:jc w:val="left"/>
                              <w:rPr>
                                <w:rFonts w:hint="eastAsia" w:ascii="仿宋_GB2312" w:hAnsi="宋体" w:eastAsia="仿宋_GB2312" w:cs="宋体"/>
                                <w:szCs w:val="24"/>
                                <w:u w:val="single"/>
                              </w:rPr>
                            </w:pPr>
                            <w:r>
                              <w:rPr>
                                <w:rFonts w:hint="eastAsia" w:ascii="仿宋_GB2312" w:hAnsi="宋体" w:eastAsia="仿宋_GB2312" w:cs="宋体"/>
                              </w:rPr>
                              <w:t>甲  方：</w:t>
                            </w:r>
                            <w:r>
                              <w:rPr>
                                <w:rFonts w:hint="eastAsia" w:ascii="仿宋_GB2312" w:hAnsi="Calibri" w:eastAsia="仿宋_GB2312" w:cs="Times New Roman"/>
                                <w:szCs w:val="24"/>
                              </w:rPr>
                              <w:t>深圳书城龙华城实业有限公司</w:t>
                            </w:r>
                          </w:p>
                          <w:p w14:paraId="000D1BB2">
                            <w:pPr>
                              <w:spacing w:line="300" w:lineRule="exact"/>
                              <w:ind w:firstLine="480"/>
                              <w:jc w:val="left"/>
                              <w:rPr>
                                <w:rFonts w:hint="eastAsia" w:ascii="仿宋_GB2312" w:hAnsi="宋体" w:eastAsia="仿宋_GB2312" w:cs="宋体"/>
                              </w:rPr>
                            </w:pPr>
                            <w:r>
                              <w:rPr>
                                <w:rFonts w:hint="eastAsia" w:ascii="仿宋_GB2312" w:hAnsi="宋体" w:eastAsia="仿宋_GB2312" w:cs="宋体"/>
                              </w:rPr>
                              <w:t>地  址：</w:t>
                            </w:r>
                            <w:r>
                              <w:rPr>
                                <w:rFonts w:hint="eastAsia" w:ascii="仿宋_GB2312" w:hAnsi="宋体" w:eastAsia="仿宋_GB2312" w:cs="宋体"/>
                                <w:szCs w:val="24"/>
                              </w:rPr>
                              <w:t>深圳市龙华区龙华大道4189号深圳书城龙华城负2层至7层</w:t>
                            </w:r>
                          </w:p>
                          <w:p w14:paraId="11EC3211">
                            <w:pPr>
                              <w:spacing w:line="360" w:lineRule="auto"/>
                              <w:ind w:firstLine="480"/>
                              <w:rPr>
                                <w:rFonts w:hint="eastAsia" w:ascii="仿宋_GB2312" w:hAnsi="宋体" w:eastAsia="仿宋_GB2312" w:cs="宋体"/>
                              </w:rPr>
                            </w:pPr>
                            <w:r>
                              <w:rPr>
                                <w:rFonts w:hint="eastAsia" w:ascii="仿宋_GB2312" w:hAnsi="宋体" w:eastAsia="仿宋_GB2312" w:cs="宋体"/>
                                <w:lang w:val="en-US" w:eastAsia="zh-CN"/>
                              </w:rPr>
                              <w:t>法定</w:t>
                            </w:r>
                            <w:r>
                              <w:rPr>
                                <w:rFonts w:hint="eastAsia" w:ascii="仿宋_GB2312" w:hAnsi="宋体" w:eastAsia="仿宋_GB2312" w:cs="宋体"/>
                              </w:rPr>
                              <w:t>代表人：</w:t>
                            </w:r>
                          </w:p>
                          <w:p w14:paraId="465E8492">
                            <w:pPr>
                              <w:spacing w:line="360" w:lineRule="auto"/>
                              <w:ind w:firstLine="480"/>
                              <w:rPr>
                                <w:rFonts w:hint="eastAsia" w:ascii="仿宋_GB2312" w:hAnsi="宋体" w:eastAsia="仿宋_GB2312" w:cs="宋体"/>
                                <w:lang w:val="en-US" w:eastAsia="zh-CN"/>
                              </w:rPr>
                            </w:pPr>
                            <w:r>
                              <w:rPr>
                                <w:rFonts w:hint="eastAsia" w:ascii="仿宋_GB2312" w:hAnsi="宋体" w:eastAsia="仿宋_GB2312" w:cs="宋体"/>
                                <w:lang w:val="en-US" w:eastAsia="zh-CN"/>
                              </w:rPr>
                              <w:t>联系人：</w:t>
                            </w:r>
                          </w:p>
                          <w:p w14:paraId="174413CF">
                            <w:pPr>
                              <w:spacing w:line="360" w:lineRule="auto"/>
                              <w:ind w:firstLine="480"/>
                              <w:rPr>
                                <w:rFonts w:hint="default" w:ascii="仿宋_GB2312" w:hAnsi="宋体" w:eastAsia="仿宋_GB2312" w:cs="宋体"/>
                                <w:lang w:val="en-US" w:eastAsia="zh-CN"/>
                              </w:rPr>
                            </w:pPr>
                            <w:r>
                              <w:rPr>
                                <w:rFonts w:hint="eastAsia" w:ascii="仿宋_GB2312" w:hAnsi="宋体" w:eastAsia="仿宋_GB2312" w:cs="宋体"/>
                                <w:lang w:val="en-US" w:eastAsia="zh-CN"/>
                              </w:rPr>
                              <w:t>联系方式：</w:t>
                            </w:r>
                          </w:p>
                          <w:p w14:paraId="5DF765F4">
                            <w:pPr>
                              <w:spacing w:line="360" w:lineRule="auto"/>
                              <w:ind w:firstLine="480"/>
                              <w:rPr>
                                <w:rFonts w:hint="eastAsia" w:ascii="仿宋_GB2312" w:hAnsi="宋体" w:eastAsia="仿宋_GB2312" w:cs="宋体"/>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7pt;margin-top:31.25pt;height:137.2pt;width:262.95pt;z-index:251662336;mso-width-relative:page;mso-height-relative:page;" fillcolor="#FFFFFF" filled="t" stroked="f" coordsize="21600,21600" o:gfxdata="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2DJpb9oAAAAKAQAADwAAAAAAAAABACAAAAAiAAAAZHJzL2Rvd25yZXYueG1sUEsBAhQAFAAA&#10;AAgAh07iQJUtF9tfAgAAxwQAAA4AAAAAAAAAAQAgAAAAKQEAAGRycy9lMm9Eb2MueG1sUEsFBgAA&#10;AAAGAAYAWQEAAPoFAAAAAA==&#10;">
                <v:fill type="gradient" on="t" color2="#FFFFFF" angle="90" focus="100%" focussize="0,0">
                  <o:fill type="gradientUnscaled" v:ext="backwardCompatible"/>
                </v:fill>
                <v:stroke on="f"/>
                <v:imagedata o:title=""/>
                <o:lock v:ext="edit" aspectratio="f"/>
                <v:textbox>
                  <w:txbxContent>
                    <w:p w14:paraId="44F181CB">
                      <w:pPr>
                        <w:spacing w:line="300" w:lineRule="exact"/>
                        <w:ind w:firstLine="480"/>
                        <w:jc w:val="left"/>
                        <w:rPr>
                          <w:rFonts w:hint="eastAsia" w:ascii="仿宋_GB2312" w:hAnsi="宋体" w:eastAsia="仿宋_GB2312" w:cs="宋体"/>
                          <w:szCs w:val="24"/>
                          <w:u w:val="single"/>
                        </w:rPr>
                      </w:pPr>
                      <w:r>
                        <w:rPr>
                          <w:rFonts w:hint="eastAsia" w:ascii="仿宋_GB2312" w:hAnsi="宋体" w:eastAsia="仿宋_GB2312" w:cs="宋体"/>
                        </w:rPr>
                        <w:t>甲  方：</w:t>
                      </w:r>
                      <w:r>
                        <w:rPr>
                          <w:rFonts w:hint="eastAsia" w:ascii="仿宋_GB2312" w:hAnsi="Calibri" w:eastAsia="仿宋_GB2312" w:cs="Times New Roman"/>
                          <w:szCs w:val="24"/>
                        </w:rPr>
                        <w:t>深圳书城龙华城实业有限公司</w:t>
                      </w:r>
                    </w:p>
                    <w:p w14:paraId="000D1BB2">
                      <w:pPr>
                        <w:spacing w:line="300" w:lineRule="exact"/>
                        <w:ind w:firstLine="480"/>
                        <w:jc w:val="left"/>
                        <w:rPr>
                          <w:rFonts w:hint="eastAsia" w:ascii="仿宋_GB2312" w:hAnsi="宋体" w:eastAsia="仿宋_GB2312" w:cs="宋体"/>
                        </w:rPr>
                      </w:pPr>
                      <w:r>
                        <w:rPr>
                          <w:rFonts w:hint="eastAsia" w:ascii="仿宋_GB2312" w:hAnsi="宋体" w:eastAsia="仿宋_GB2312" w:cs="宋体"/>
                        </w:rPr>
                        <w:t>地  址：</w:t>
                      </w:r>
                      <w:r>
                        <w:rPr>
                          <w:rFonts w:hint="eastAsia" w:ascii="仿宋_GB2312" w:hAnsi="宋体" w:eastAsia="仿宋_GB2312" w:cs="宋体"/>
                          <w:szCs w:val="24"/>
                        </w:rPr>
                        <w:t>深圳市龙华区龙华大道4189号深圳书城龙华城负2层至7层</w:t>
                      </w:r>
                    </w:p>
                    <w:p w14:paraId="11EC3211">
                      <w:pPr>
                        <w:spacing w:line="360" w:lineRule="auto"/>
                        <w:ind w:firstLine="480"/>
                        <w:rPr>
                          <w:rFonts w:hint="eastAsia" w:ascii="仿宋_GB2312" w:hAnsi="宋体" w:eastAsia="仿宋_GB2312" w:cs="宋体"/>
                        </w:rPr>
                      </w:pPr>
                      <w:r>
                        <w:rPr>
                          <w:rFonts w:hint="eastAsia" w:ascii="仿宋_GB2312" w:hAnsi="宋体" w:eastAsia="仿宋_GB2312" w:cs="宋体"/>
                          <w:lang w:val="en-US" w:eastAsia="zh-CN"/>
                        </w:rPr>
                        <w:t>法定</w:t>
                      </w:r>
                      <w:r>
                        <w:rPr>
                          <w:rFonts w:hint="eastAsia" w:ascii="仿宋_GB2312" w:hAnsi="宋体" w:eastAsia="仿宋_GB2312" w:cs="宋体"/>
                        </w:rPr>
                        <w:t>代表人：</w:t>
                      </w:r>
                    </w:p>
                    <w:p w14:paraId="465E8492">
                      <w:pPr>
                        <w:spacing w:line="360" w:lineRule="auto"/>
                        <w:ind w:firstLine="480"/>
                        <w:rPr>
                          <w:rFonts w:hint="eastAsia" w:ascii="仿宋_GB2312" w:hAnsi="宋体" w:eastAsia="仿宋_GB2312" w:cs="宋体"/>
                          <w:lang w:val="en-US" w:eastAsia="zh-CN"/>
                        </w:rPr>
                      </w:pPr>
                      <w:r>
                        <w:rPr>
                          <w:rFonts w:hint="eastAsia" w:ascii="仿宋_GB2312" w:hAnsi="宋体" w:eastAsia="仿宋_GB2312" w:cs="宋体"/>
                          <w:lang w:val="en-US" w:eastAsia="zh-CN"/>
                        </w:rPr>
                        <w:t>联系人：</w:t>
                      </w:r>
                    </w:p>
                    <w:p w14:paraId="174413CF">
                      <w:pPr>
                        <w:spacing w:line="360" w:lineRule="auto"/>
                        <w:ind w:firstLine="480"/>
                        <w:rPr>
                          <w:rFonts w:hint="default" w:ascii="仿宋_GB2312" w:hAnsi="宋体" w:eastAsia="仿宋_GB2312" w:cs="宋体"/>
                          <w:lang w:val="en-US" w:eastAsia="zh-CN"/>
                        </w:rPr>
                      </w:pPr>
                      <w:r>
                        <w:rPr>
                          <w:rFonts w:hint="eastAsia" w:ascii="仿宋_GB2312" w:hAnsi="宋体" w:eastAsia="仿宋_GB2312" w:cs="宋体"/>
                          <w:lang w:val="en-US" w:eastAsia="zh-CN"/>
                        </w:rPr>
                        <w:t>联系方式：</w:t>
                      </w:r>
                    </w:p>
                    <w:p w14:paraId="5DF765F4">
                      <w:pPr>
                        <w:spacing w:line="360" w:lineRule="auto"/>
                        <w:ind w:firstLine="480"/>
                        <w:rPr>
                          <w:rFonts w:hint="eastAsia" w:ascii="仿宋_GB2312" w:hAnsi="宋体" w:eastAsia="仿宋_GB2312" w:cs="宋体"/>
                        </w:rPr>
                      </w:pPr>
                    </w:p>
                  </w:txbxContent>
                </v:textbox>
              </v:shape>
            </w:pict>
          </mc:Fallback>
        </mc:AlternateContent>
      </w:r>
    </w:p>
    <w:p w14:paraId="286C280D">
      <w:pPr>
        <w:ind w:firstLine="480"/>
        <w:rPr>
          <w:rFonts w:hint="eastAsia" w:ascii="宋体" w:hAnsi="宋体" w:cs="宋体"/>
          <w:b/>
          <w:szCs w:val="24"/>
        </w:rPr>
      </w:pPr>
      <w:r>
        <w:rPr>
          <w:rFonts w:ascii="Times New Roman" w:hAnsi="Times New Roman" w:cs="Times New Roman"/>
          <w:szCs w:val="24"/>
        </w:rPr>
        <mc:AlternateContent>
          <mc:Choice Requires="wps">
            <w:drawing>
              <wp:anchor distT="0" distB="0" distL="114300" distR="114300" simplePos="0" relativeHeight="251661312" behindDoc="0" locked="0" layoutInCell="1" allowOverlap="1">
                <wp:simplePos x="0" y="0"/>
                <wp:positionH relativeFrom="column">
                  <wp:posOffset>3023235</wp:posOffset>
                </wp:positionH>
                <wp:positionV relativeFrom="paragraph">
                  <wp:posOffset>12700</wp:posOffset>
                </wp:positionV>
                <wp:extent cx="2637790" cy="1656715"/>
                <wp:effectExtent l="0" t="0" r="10160" b="635"/>
                <wp:wrapNone/>
                <wp:docPr id="1637669568" name="文本框 1637669568"/>
                <wp:cNvGraphicFramePr/>
                <a:graphic xmlns:a="http://schemas.openxmlformats.org/drawingml/2006/main">
                  <a:graphicData uri="http://schemas.microsoft.com/office/word/2010/wordprocessingShape">
                    <wps:wsp>
                      <wps:cNvSpPr txBox="1">
                        <a:spLocks noChangeArrowheads="1"/>
                      </wps:cNvSpPr>
                      <wps:spPr bwMode="auto">
                        <a:xfrm>
                          <a:off x="0" y="0"/>
                          <a:ext cx="2637790" cy="1656715"/>
                        </a:xfrm>
                        <a:prstGeom prst="rect">
                          <a:avLst/>
                        </a:prstGeom>
                        <a:gradFill rotWithShape="0">
                          <a:gsLst>
                            <a:gs pos="0">
                              <a:srgbClr val="FFFFFF"/>
                            </a:gs>
                            <a:gs pos="100000">
                              <a:srgbClr val="FFFFFF"/>
                            </a:gs>
                          </a:gsLst>
                          <a:lin ang="0"/>
                        </a:gradFill>
                        <a:ln>
                          <a:noFill/>
                        </a:ln>
                        <a:effectLst/>
                      </wps:spPr>
                      <wps:txbx>
                        <w:txbxContent>
                          <w:p w14:paraId="73A95387">
                            <w:pPr>
                              <w:spacing w:line="360" w:lineRule="auto"/>
                              <w:ind w:left="960" w:hanging="960" w:hangingChars="400"/>
                              <w:rPr>
                                <w:rFonts w:hint="eastAsia" w:ascii="仿宋_GB2312" w:hAnsi="宋体" w:eastAsia="仿宋_GB2312" w:cs="宋体"/>
                              </w:rPr>
                            </w:pPr>
                            <w:r>
                              <w:rPr>
                                <w:rFonts w:hint="eastAsia" w:ascii="仿宋_GB2312" w:hAnsi="宋体" w:eastAsia="仿宋_GB2312" w:cs="宋体"/>
                              </w:rPr>
                              <w:t xml:space="preserve">乙方： </w:t>
                            </w:r>
                          </w:p>
                          <w:p w14:paraId="41F65F9F">
                            <w:pPr>
                              <w:spacing w:line="360" w:lineRule="auto"/>
                              <w:ind w:left="960" w:hanging="960" w:hangingChars="400"/>
                              <w:rPr>
                                <w:rFonts w:hint="eastAsia" w:ascii="仿宋_GB2312" w:hAnsi="宋体" w:eastAsia="仿宋_GB2312" w:cs="宋体"/>
                              </w:rPr>
                            </w:pPr>
                            <w:r>
                              <w:rPr>
                                <w:rFonts w:hint="eastAsia" w:ascii="仿宋_GB2312" w:hAnsi="宋体" w:eastAsia="仿宋_GB2312" w:cs="宋体"/>
                              </w:rPr>
                              <w:t>地址：</w:t>
                            </w:r>
                          </w:p>
                          <w:p w14:paraId="6AD50EC9">
                            <w:pPr>
                              <w:spacing w:line="360" w:lineRule="auto"/>
                              <w:ind w:left="0" w:leftChars="0" w:firstLine="0" w:firstLineChars="0"/>
                              <w:rPr>
                                <w:rFonts w:hint="eastAsia" w:ascii="仿宋_GB2312" w:hAnsi="宋体" w:eastAsia="仿宋_GB2312" w:cs="宋体"/>
                              </w:rPr>
                            </w:pPr>
                            <w:r>
                              <w:rPr>
                                <w:rFonts w:hint="eastAsia" w:ascii="仿宋_GB2312" w:hAnsi="宋体" w:eastAsia="仿宋_GB2312" w:cs="宋体"/>
                                <w:lang w:val="en-US" w:eastAsia="zh-CN"/>
                              </w:rPr>
                              <w:t>法定</w:t>
                            </w:r>
                            <w:r>
                              <w:rPr>
                                <w:rFonts w:hint="eastAsia" w:ascii="仿宋_GB2312" w:hAnsi="宋体" w:eastAsia="仿宋_GB2312" w:cs="宋体"/>
                              </w:rPr>
                              <w:t>代表人：</w:t>
                            </w:r>
                          </w:p>
                          <w:p w14:paraId="6A6D37E7">
                            <w:pPr>
                              <w:spacing w:line="360" w:lineRule="auto"/>
                              <w:ind w:left="0" w:leftChars="0" w:firstLine="0" w:firstLineChars="0"/>
                              <w:rPr>
                                <w:rFonts w:hint="eastAsia" w:ascii="仿宋_GB2312" w:hAnsi="宋体" w:eastAsia="仿宋_GB2312" w:cs="宋体"/>
                                <w:lang w:val="en-US" w:eastAsia="zh-CN"/>
                              </w:rPr>
                            </w:pPr>
                            <w:r>
                              <w:rPr>
                                <w:rFonts w:hint="eastAsia" w:ascii="仿宋_GB2312" w:hAnsi="宋体" w:eastAsia="仿宋_GB2312" w:cs="宋体"/>
                                <w:lang w:val="en-US" w:eastAsia="zh-CN"/>
                              </w:rPr>
                              <w:t>联系人：</w:t>
                            </w:r>
                          </w:p>
                          <w:p w14:paraId="62816A94">
                            <w:pPr>
                              <w:spacing w:line="360" w:lineRule="auto"/>
                              <w:ind w:left="0" w:leftChars="0" w:firstLine="0" w:firstLineChars="0"/>
                              <w:rPr>
                                <w:rFonts w:hint="default" w:ascii="仿宋_GB2312" w:hAnsi="宋体" w:eastAsia="仿宋_GB2312" w:cs="宋体"/>
                                <w:lang w:val="en-US" w:eastAsia="zh-CN"/>
                              </w:rPr>
                            </w:pPr>
                            <w:r>
                              <w:rPr>
                                <w:rFonts w:hint="eastAsia" w:ascii="仿宋_GB2312" w:hAnsi="宋体" w:eastAsia="仿宋_GB2312" w:cs="宋体"/>
                                <w:lang w:val="en-US" w:eastAsia="zh-CN"/>
                              </w:rPr>
                              <w:t>联系方式：</w:t>
                            </w:r>
                          </w:p>
                          <w:p w14:paraId="3CE94D86">
                            <w:pPr>
                              <w:spacing w:line="360" w:lineRule="auto"/>
                              <w:ind w:left="960" w:hanging="960" w:hangingChars="400"/>
                              <w:rPr>
                                <w:rFonts w:hint="eastAsia" w:ascii="仿宋_GB2312" w:hAnsi="宋体" w:eastAsia="仿宋_GB2312" w:cs="宋体"/>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38.05pt;margin-top:1pt;height:130.45pt;width:207.7pt;z-index:251661312;mso-width-relative:page;mso-height-relative:page;" fillcolor="#FFFFFF" filled="t" stroked="f" coordsize="21600,21600" o:gfxdata="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t9exNgAAAAJAQAADwAAAAAAAAABACAAAAAiAAAAZHJzL2Rvd25yZXYueG1sUEsB&#10;AhQAFAAAAAgAh07iQIyHNjxnAgAA2QQAAA4AAAAAAAAAAQAgAAAAJwEAAGRycy9lMm9Eb2MueG1s&#10;UEsFBgAAAAAGAAYAWQEAAAAGAAAAAA==&#10;">
                <v:fill type="gradient" on="t" color2="#FFFFFF" angle="90" focus="100%" focussize="0,0">
                  <o:fill type="gradientUnscaled" v:ext="backwardCompatible"/>
                </v:fill>
                <v:stroke on="f"/>
                <v:imagedata o:title=""/>
                <o:lock v:ext="edit" aspectratio="f"/>
                <v:textbox>
                  <w:txbxContent>
                    <w:p w14:paraId="73A95387">
                      <w:pPr>
                        <w:spacing w:line="360" w:lineRule="auto"/>
                        <w:ind w:left="960" w:hanging="960" w:hangingChars="400"/>
                        <w:rPr>
                          <w:rFonts w:hint="eastAsia" w:ascii="仿宋_GB2312" w:hAnsi="宋体" w:eastAsia="仿宋_GB2312" w:cs="宋体"/>
                        </w:rPr>
                      </w:pPr>
                      <w:r>
                        <w:rPr>
                          <w:rFonts w:hint="eastAsia" w:ascii="仿宋_GB2312" w:hAnsi="宋体" w:eastAsia="仿宋_GB2312" w:cs="宋体"/>
                        </w:rPr>
                        <w:t xml:space="preserve">乙方： </w:t>
                      </w:r>
                    </w:p>
                    <w:p w14:paraId="41F65F9F">
                      <w:pPr>
                        <w:spacing w:line="360" w:lineRule="auto"/>
                        <w:ind w:left="960" w:hanging="960" w:hangingChars="400"/>
                        <w:rPr>
                          <w:rFonts w:hint="eastAsia" w:ascii="仿宋_GB2312" w:hAnsi="宋体" w:eastAsia="仿宋_GB2312" w:cs="宋体"/>
                        </w:rPr>
                      </w:pPr>
                      <w:r>
                        <w:rPr>
                          <w:rFonts w:hint="eastAsia" w:ascii="仿宋_GB2312" w:hAnsi="宋体" w:eastAsia="仿宋_GB2312" w:cs="宋体"/>
                        </w:rPr>
                        <w:t>地址：</w:t>
                      </w:r>
                    </w:p>
                    <w:p w14:paraId="6AD50EC9">
                      <w:pPr>
                        <w:spacing w:line="360" w:lineRule="auto"/>
                        <w:ind w:left="0" w:leftChars="0" w:firstLine="0" w:firstLineChars="0"/>
                        <w:rPr>
                          <w:rFonts w:hint="eastAsia" w:ascii="仿宋_GB2312" w:hAnsi="宋体" w:eastAsia="仿宋_GB2312" w:cs="宋体"/>
                        </w:rPr>
                      </w:pPr>
                      <w:r>
                        <w:rPr>
                          <w:rFonts w:hint="eastAsia" w:ascii="仿宋_GB2312" w:hAnsi="宋体" w:eastAsia="仿宋_GB2312" w:cs="宋体"/>
                          <w:lang w:val="en-US" w:eastAsia="zh-CN"/>
                        </w:rPr>
                        <w:t>法定</w:t>
                      </w:r>
                      <w:r>
                        <w:rPr>
                          <w:rFonts w:hint="eastAsia" w:ascii="仿宋_GB2312" w:hAnsi="宋体" w:eastAsia="仿宋_GB2312" w:cs="宋体"/>
                        </w:rPr>
                        <w:t>代表人：</w:t>
                      </w:r>
                    </w:p>
                    <w:p w14:paraId="6A6D37E7">
                      <w:pPr>
                        <w:spacing w:line="360" w:lineRule="auto"/>
                        <w:ind w:left="0" w:leftChars="0" w:firstLine="0" w:firstLineChars="0"/>
                        <w:rPr>
                          <w:rFonts w:hint="eastAsia" w:ascii="仿宋_GB2312" w:hAnsi="宋体" w:eastAsia="仿宋_GB2312" w:cs="宋体"/>
                          <w:lang w:val="en-US" w:eastAsia="zh-CN"/>
                        </w:rPr>
                      </w:pPr>
                      <w:r>
                        <w:rPr>
                          <w:rFonts w:hint="eastAsia" w:ascii="仿宋_GB2312" w:hAnsi="宋体" w:eastAsia="仿宋_GB2312" w:cs="宋体"/>
                          <w:lang w:val="en-US" w:eastAsia="zh-CN"/>
                        </w:rPr>
                        <w:t>联系人：</w:t>
                      </w:r>
                    </w:p>
                    <w:p w14:paraId="62816A94">
                      <w:pPr>
                        <w:spacing w:line="360" w:lineRule="auto"/>
                        <w:ind w:left="0" w:leftChars="0" w:firstLine="0" w:firstLineChars="0"/>
                        <w:rPr>
                          <w:rFonts w:hint="default" w:ascii="仿宋_GB2312" w:hAnsi="宋体" w:eastAsia="仿宋_GB2312" w:cs="宋体"/>
                          <w:lang w:val="en-US" w:eastAsia="zh-CN"/>
                        </w:rPr>
                      </w:pPr>
                      <w:r>
                        <w:rPr>
                          <w:rFonts w:hint="eastAsia" w:ascii="仿宋_GB2312" w:hAnsi="宋体" w:eastAsia="仿宋_GB2312" w:cs="宋体"/>
                          <w:lang w:val="en-US" w:eastAsia="zh-CN"/>
                        </w:rPr>
                        <w:t>联系方式：</w:t>
                      </w:r>
                    </w:p>
                    <w:p w14:paraId="3CE94D86">
                      <w:pPr>
                        <w:spacing w:line="360" w:lineRule="auto"/>
                        <w:ind w:left="960" w:hanging="960" w:hangingChars="400"/>
                        <w:rPr>
                          <w:rFonts w:hint="eastAsia" w:ascii="仿宋_GB2312" w:hAnsi="宋体" w:eastAsia="仿宋_GB2312" w:cs="宋体"/>
                        </w:rPr>
                      </w:pPr>
                    </w:p>
                  </w:txbxContent>
                </v:textbox>
              </v:shape>
            </w:pict>
          </mc:Fallback>
        </mc:AlternateContent>
      </w:r>
    </w:p>
    <w:p w14:paraId="584943A0">
      <w:pPr>
        <w:ind w:firstLine="482"/>
        <w:rPr>
          <w:rFonts w:hint="eastAsia" w:ascii="宋体" w:hAnsi="宋体" w:cs="宋体"/>
          <w:b/>
          <w:szCs w:val="24"/>
        </w:rPr>
      </w:pPr>
    </w:p>
    <w:p w14:paraId="0DB44737">
      <w:pPr>
        <w:spacing w:line="360" w:lineRule="auto"/>
        <w:ind w:firstLine="480"/>
        <w:jc w:val="left"/>
        <w:rPr>
          <w:rFonts w:hint="eastAsia" w:ascii="宋体" w:hAnsi="宋体" w:cs="宋体"/>
          <w:szCs w:val="24"/>
          <w:u w:val="single"/>
        </w:rPr>
      </w:pPr>
      <w:r>
        <w:rPr>
          <w:rFonts w:hint="eastAsia" w:ascii="宋体" w:hAnsi="宋体" w:cs="宋体"/>
          <w:szCs w:val="24"/>
        </w:rPr>
        <w:t xml:space="preserve">                                                           </w:t>
      </w:r>
      <w:r>
        <w:rPr>
          <w:rFonts w:hint="eastAsia" w:ascii="宋体" w:hAnsi="宋体" w:cs="宋体"/>
          <w:kern w:val="0"/>
          <w:szCs w:val="24"/>
        </w:rPr>
        <w:t xml:space="preserve">    </w:t>
      </w:r>
    </w:p>
    <w:p w14:paraId="581CC6A5">
      <w:pPr>
        <w:spacing w:line="360" w:lineRule="auto"/>
        <w:ind w:firstLine="480"/>
        <w:rPr>
          <w:rFonts w:hint="eastAsia" w:ascii="宋体" w:hAnsi="宋体" w:cs="宋体"/>
          <w:szCs w:val="24"/>
        </w:rPr>
      </w:pPr>
      <w:r>
        <w:rPr>
          <w:rFonts w:hint="eastAsia" w:ascii="宋体" w:hAnsi="宋体" w:cs="宋体"/>
          <w:szCs w:val="24"/>
        </w:rPr>
        <w:t xml:space="preserve">            </w:t>
      </w:r>
    </w:p>
    <w:p w14:paraId="62FD9496">
      <w:pPr>
        <w:spacing w:line="360" w:lineRule="auto"/>
        <w:ind w:firstLine="480"/>
        <w:rPr>
          <w:rFonts w:hint="eastAsia" w:ascii="仿宋_GB2312" w:hAnsi="宋体" w:eastAsia="仿宋_GB2312" w:cs="宋体"/>
          <w:szCs w:val="24"/>
        </w:rPr>
      </w:pPr>
      <w:r>
        <w:rPr>
          <w:rFonts w:hint="eastAsia" w:ascii="仿宋_GB2312" w:hAnsi="宋体" w:eastAsia="仿宋_GB2312" w:cs="宋体"/>
          <w:szCs w:val="24"/>
        </w:rPr>
        <w:t xml:space="preserve">                                             </w:t>
      </w:r>
    </w:p>
    <w:p w14:paraId="353A26DE">
      <w:pPr>
        <w:spacing w:line="360" w:lineRule="auto"/>
        <w:ind w:firstLine="480"/>
        <w:rPr>
          <w:rFonts w:hint="eastAsia" w:ascii="仿宋_GB2312" w:hAnsi="宋体" w:eastAsia="仿宋_GB2312" w:cs="宋体"/>
          <w:szCs w:val="24"/>
        </w:rPr>
      </w:pPr>
    </w:p>
    <w:p w14:paraId="5FA16EC7">
      <w:pPr>
        <w:spacing w:line="360" w:lineRule="auto"/>
        <w:ind w:firstLine="480"/>
        <w:rPr>
          <w:rFonts w:ascii="仿宋_GB2312" w:hAnsi="宋体" w:eastAsia="仿宋_GB2312" w:cs="宋体"/>
          <w:color w:val="000000"/>
          <w:kern w:val="0"/>
          <w:szCs w:val="24"/>
        </w:rPr>
      </w:pPr>
      <w:r>
        <w:rPr>
          <w:rFonts w:hint="eastAsia" w:ascii="仿宋_GB2312" w:hAnsi="宋体" w:eastAsia="仿宋_GB2312" w:cs="宋体"/>
          <w:color w:val="000000"/>
          <w:kern w:val="0"/>
          <w:szCs w:val="24"/>
        </w:rPr>
        <w:t>甲乙双方经友好协商，根据《中华人民共和国民法典》的有关规定，秉持公平、公正、互惠互利的原则</w:t>
      </w:r>
      <w:r>
        <w:rPr>
          <w:rFonts w:hint="eastAsia" w:ascii="仿宋_GB2312" w:hAnsi="宋体" w:eastAsia="仿宋_GB2312" w:cs="宋体"/>
          <w:bCs/>
          <w:color w:val="000000"/>
          <w:szCs w:val="24"/>
        </w:rPr>
        <w:t>，就甲方委托乙方</w:t>
      </w:r>
      <w:r>
        <w:rPr>
          <w:rFonts w:hint="eastAsia" w:ascii="仿宋_GB2312" w:hAnsi="宋体" w:eastAsia="仿宋_GB2312"/>
          <w:color w:val="000000" w:themeColor="text1"/>
          <w:szCs w:val="24"/>
          <w:lang w:val="en-US" w:eastAsia="zh-CN"/>
          <w14:textFill>
            <w14:solidFill>
              <w14:schemeClr w14:val="tx1"/>
            </w14:solidFill>
          </w14:textFill>
        </w:rPr>
        <w:t>智能车库</w:t>
      </w:r>
      <w:r>
        <w:rPr>
          <w:rFonts w:hint="eastAsia" w:ascii="仿宋_GB2312" w:hAnsi="宋体" w:eastAsia="仿宋_GB2312" w:cs="宋体"/>
          <w:bCs/>
          <w:color w:val="000000"/>
          <w:szCs w:val="24"/>
        </w:rPr>
        <w:t>项目相关工作</w:t>
      </w:r>
      <w:r>
        <w:rPr>
          <w:rFonts w:hint="eastAsia" w:ascii="仿宋_GB2312" w:hAnsi="宋体" w:eastAsia="仿宋_GB2312" w:cs="宋体"/>
          <w:color w:val="000000"/>
          <w:kern w:val="0"/>
          <w:szCs w:val="24"/>
        </w:rPr>
        <w:t>，达成以下协议：</w:t>
      </w:r>
    </w:p>
    <w:p w14:paraId="26D7BEE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一、</w:t>
      </w:r>
      <w:r>
        <w:rPr>
          <w:rFonts w:hint="eastAsia" w:ascii="仿宋_GB2312" w:hAnsi="宋体" w:eastAsia="仿宋_GB2312" w:cs="宋体"/>
          <w:color w:val="000000"/>
          <w:kern w:val="0"/>
          <w:szCs w:val="24"/>
          <w:lang w:val="en-US" w:eastAsia="zh-CN"/>
        </w:rPr>
        <w:t>智能</w:t>
      </w:r>
      <w:r>
        <w:rPr>
          <w:rFonts w:hint="eastAsia" w:ascii="仿宋_GB2312" w:hAnsi="宋体" w:eastAsia="仿宋_GB2312" w:cs="宋体"/>
          <w:color w:val="000000"/>
          <w:kern w:val="0"/>
          <w:szCs w:val="24"/>
        </w:rPr>
        <w:t>车库基本情况</w:t>
      </w:r>
    </w:p>
    <w:p w14:paraId="5E73B4F8">
      <w:pPr>
        <w:spacing w:line="360" w:lineRule="auto"/>
        <w:ind w:firstLine="480"/>
        <w:rPr>
          <w:rFonts w:hint="default" w:ascii="仿宋_GB2312" w:hAnsi="宋体" w:eastAsia="仿宋_GB2312" w:cs="宋体"/>
          <w:color w:val="000000"/>
          <w:kern w:val="0"/>
          <w:szCs w:val="24"/>
          <w:lang w:val="en-US" w:eastAsia="zh-CN"/>
        </w:rPr>
      </w:pPr>
      <w:r>
        <w:rPr>
          <w:rFonts w:hint="eastAsia" w:ascii="仿宋_GB2312" w:hAnsi="宋体" w:eastAsia="仿宋_GB2312" w:cs="宋体"/>
          <w:color w:val="000000"/>
          <w:kern w:val="0"/>
          <w:szCs w:val="24"/>
          <w:lang w:val="en-US" w:eastAsia="zh-CN"/>
        </w:rPr>
        <w:t>维保</w:t>
      </w:r>
      <w:r>
        <w:rPr>
          <w:rFonts w:hint="eastAsia" w:ascii="仿宋_GB2312" w:hAnsi="宋体" w:eastAsia="仿宋_GB2312" w:cs="宋体"/>
          <w:color w:val="000000"/>
          <w:kern w:val="0"/>
          <w:szCs w:val="24"/>
        </w:rPr>
        <w:t>地点：深圳书城龙华城</w:t>
      </w:r>
      <w:r>
        <w:rPr>
          <w:rFonts w:hint="eastAsia" w:ascii="仿宋_GB2312" w:hAnsi="宋体" w:eastAsia="仿宋_GB2312" w:cs="宋体"/>
          <w:color w:val="000000"/>
          <w:kern w:val="0"/>
          <w:szCs w:val="24"/>
          <w:lang w:val="en-US" w:eastAsia="zh-CN"/>
        </w:rPr>
        <w:t>负1楼</w:t>
      </w:r>
    </w:p>
    <w:p w14:paraId="26770C3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车位数：204个</w:t>
      </w:r>
    </w:p>
    <w:tbl>
      <w:tblPr>
        <w:tblStyle w:val="13"/>
        <w:tblW w:w="4998" w:type="pct"/>
        <w:jc w:val="center"/>
        <w:tblLayout w:type="autofit"/>
        <w:tblCellMar>
          <w:top w:w="0" w:type="dxa"/>
          <w:left w:w="108" w:type="dxa"/>
          <w:bottom w:w="0" w:type="dxa"/>
          <w:right w:w="108" w:type="dxa"/>
        </w:tblCellMar>
      </w:tblPr>
      <w:tblGrid>
        <w:gridCol w:w="4063"/>
        <w:gridCol w:w="2028"/>
        <w:gridCol w:w="1214"/>
        <w:gridCol w:w="1214"/>
      </w:tblGrid>
      <w:tr w14:paraId="72216294">
        <w:tblPrEx>
          <w:tblCellMar>
            <w:top w:w="0" w:type="dxa"/>
            <w:left w:w="108" w:type="dxa"/>
            <w:bottom w:w="0" w:type="dxa"/>
            <w:right w:w="108" w:type="dxa"/>
          </w:tblCellMar>
        </w:tblPrEx>
        <w:trPr>
          <w:trHeight w:val="560" w:hRule="atLeast"/>
          <w:jc w:val="center"/>
        </w:trPr>
        <w:tc>
          <w:tcPr>
            <w:tcW w:w="2384" w:type="pct"/>
            <w:tcBorders>
              <w:top w:val="single" w:color="auto" w:sz="4" w:space="0"/>
              <w:left w:val="single" w:color="auto" w:sz="4" w:space="0"/>
              <w:bottom w:val="single" w:color="auto" w:sz="4" w:space="0"/>
              <w:right w:val="single" w:color="auto" w:sz="4" w:space="0"/>
            </w:tcBorders>
            <w:shd w:val="clear" w:color="auto" w:fill="auto"/>
            <w:vAlign w:val="center"/>
          </w:tcPr>
          <w:p w14:paraId="49B83455">
            <w:pPr>
              <w:spacing w:line="360" w:lineRule="auto"/>
              <w:ind w:left="0" w:leftChars="0" w:firstLine="0" w:firstLineChars="0"/>
              <w:jc w:val="center"/>
              <w:rPr>
                <w:rFonts w:hint="eastAsia" w:ascii="仿宋_GB2312" w:hAnsi="宋体" w:eastAsia="仿宋_GB2312" w:cs="宋体"/>
                <w:b/>
                <w:bCs/>
                <w:color w:val="000000"/>
                <w:kern w:val="0"/>
                <w:szCs w:val="24"/>
              </w:rPr>
            </w:pPr>
            <w:r>
              <w:rPr>
                <w:rFonts w:hint="eastAsia" w:ascii="仿宋_GB2312" w:hAnsi="宋体" w:eastAsia="仿宋_GB2312" w:cs="宋体"/>
                <w:b/>
                <w:bCs/>
                <w:color w:val="000000"/>
                <w:kern w:val="0"/>
                <w:szCs w:val="24"/>
              </w:rPr>
              <w:t>货物名称</w:t>
            </w:r>
          </w:p>
        </w:tc>
        <w:tc>
          <w:tcPr>
            <w:tcW w:w="1190" w:type="pct"/>
            <w:tcBorders>
              <w:top w:val="single" w:color="auto" w:sz="4" w:space="0"/>
              <w:left w:val="nil"/>
              <w:bottom w:val="single" w:color="auto" w:sz="4" w:space="0"/>
              <w:right w:val="single" w:color="auto" w:sz="4" w:space="0"/>
            </w:tcBorders>
            <w:shd w:val="clear" w:color="auto" w:fill="auto"/>
            <w:vAlign w:val="center"/>
          </w:tcPr>
          <w:p w14:paraId="710E3946">
            <w:pPr>
              <w:spacing w:line="360" w:lineRule="auto"/>
              <w:ind w:firstLine="480"/>
              <w:rPr>
                <w:rFonts w:hint="eastAsia" w:ascii="仿宋_GB2312" w:hAnsi="宋体" w:eastAsia="仿宋_GB2312" w:cs="宋体"/>
                <w:b/>
                <w:bCs/>
                <w:color w:val="000000"/>
                <w:kern w:val="0"/>
                <w:szCs w:val="24"/>
              </w:rPr>
            </w:pPr>
            <w:r>
              <w:rPr>
                <w:rFonts w:hint="eastAsia" w:ascii="仿宋_GB2312" w:hAnsi="宋体" w:eastAsia="仿宋_GB2312" w:cs="宋体"/>
                <w:b/>
                <w:bCs/>
                <w:color w:val="000000"/>
                <w:kern w:val="0"/>
                <w:szCs w:val="24"/>
              </w:rPr>
              <w:t>规格型号</w:t>
            </w:r>
          </w:p>
        </w:tc>
        <w:tc>
          <w:tcPr>
            <w:tcW w:w="712" w:type="pct"/>
            <w:tcBorders>
              <w:top w:val="single" w:color="auto" w:sz="4" w:space="0"/>
              <w:left w:val="nil"/>
              <w:bottom w:val="single" w:color="auto" w:sz="4" w:space="0"/>
              <w:right w:val="single" w:color="auto" w:sz="4" w:space="0"/>
            </w:tcBorders>
            <w:shd w:val="clear" w:color="auto" w:fill="auto"/>
            <w:vAlign w:val="center"/>
          </w:tcPr>
          <w:p w14:paraId="4E0FD09B">
            <w:pPr>
              <w:spacing w:line="360" w:lineRule="auto"/>
              <w:ind w:left="0" w:leftChars="0" w:firstLine="0" w:firstLineChars="0"/>
              <w:jc w:val="center"/>
              <w:rPr>
                <w:rFonts w:hint="eastAsia" w:ascii="仿宋_GB2312" w:hAnsi="宋体" w:eastAsia="仿宋_GB2312" w:cs="宋体"/>
                <w:b/>
                <w:bCs/>
                <w:color w:val="000000"/>
                <w:kern w:val="0"/>
                <w:szCs w:val="24"/>
              </w:rPr>
            </w:pPr>
            <w:r>
              <w:rPr>
                <w:rFonts w:hint="eastAsia" w:ascii="仿宋_GB2312" w:hAnsi="宋体" w:eastAsia="仿宋_GB2312" w:cs="宋体"/>
                <w:b/>
                <w:bCs/>
                <w:color w:val="000000"/>
                <w:kern w:val="0"/>
                <w:szCs w:val="24"/>
              </w:rPr>
              <w:t>单位</w:t>
            </w:r>
          </w:p>
        </w:tc>
        <w:tc>
          <w:tcPr>
            <w:tcW w:w="712" w:type="pct"/>
            <w:tcBorders>
              <w:top w:val="single" w:color="auto" w:sz="4" w:space="0"/>
              <w:left w:val="nil"/>
              <w:bottom w:val="single" w:color="auto" w:sz="4" w:space="0"/>
              <w:right w:val="single" w:color="auto" w:sz="4" w:space="0"/>
            </w:tcBorders>
            <w:shd w:val="clear" w:color="auto" w:fill="auto"/>
            <w:vAlign w:val="center"/>
          </w:tcPr>
          <w:p w14:paraId="7E92B60A">
            <w:pPr>
              <w:spacing w:line="360" w:lineRule="auto"/>
              <w:ind w:left="0" w:leftChars="0" w:firstLine="0" w:firstLineChars="0"/>
              <w:jc w:val="center"/>
              <w:rPr>
                <w:rFonts w:hint="eastAsia" w:ascii="仿宋_GB2312" w:hAnsi="宋体" w:eastAsia="仿宋_GB2312" w:cs="宋体"/>
                <w:b/>
                <w:bCs/>
                <w:color w:val="000000"/>
                <w:kern w:val="0"/>
                <w:szCs w:val="24"/>
              </w:rPr>
            </w:pPr>
            <w:r>
              <w:rPr>
                <w:rFonts w:hint="eastAsia" w:ascii="仿宋_GB2312" w:hAnsi="宋体" w:eastAsia="仿宋_GB2312" w:cs="宋体"/>
                <w:b/>
                <w:bCs/>
                <w:color w:val="000000"/>
                <w:kern w:val="0"/>
                <w:szCs w:val="24"/>
              </w:rPr>
              <w:t>数量</w:t>
            </w:r>
          </w:p>
        </w:tc>
      </w:tr>
      <w:tr w14:paraId="11E5F99E">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255DE092">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升降机</w:t>
            </w:r>
          </w:p>
        </w:tc>
        <w:tc>
          <w:tcPr>
            <w:tcW w:w="1190" w:type="pct"/>
            <w:tcBorders>
              <w:top w:val="nil"/>
              <w:left w:val="nil"/>
              <w:bottom w:val="single" w:color="auto" w:sz="4" w:space="0"/>
              <w:right w:val="single" w:color="auto" w:sz="4" w:space="0"/>
            </w:tcBorders>
            <w:shd w:val="clear" w:color="auto" w:fill="auto"/>
            <w:vAlign w:val="center"/>
          </w:tcPr>
          <w:p w14:paraId="7FD5E45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LIFT-FA</w:t>
            </w:r>
          </w:p>
        </w:tc>
        <w:tc>
          <w:tcPr>
            <w:tcW w:w="712" w:type="pct"/>
            <w:tcBorders>
              <w:top w:val="nil"/>
              <w:left w:val="nil"/>
              <w:bottom w:val="single" w:color="auto" w:sz="4" w:space="0"/>
              <w:right w:val="single" w:color="auto" w:sz="4" w:space="0"/>
            </w:tcBorders>
            <w:shd w:val="clear" w:color="auto" w:fill="auto"/>
            <w:vAlign w:val="center"/>
          </w:tcPr>
          <w:p w14:paraId="16137117">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714642E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4</w:t>
            </w:r>
          </w:p>
        </w:tc>
      </w:tr>
      <w:tr w14:paraId="2CBCF91B">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374B02CC">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横移搬运器</w:t>
            </w:r>
          </w:p>
        </w:tc>
        <w:tc>
          <w:tcPr>
            <w:tcW w:w="1190" w:type="pct"/>
            <w:tcBorders>
              <w:top w:val="nil"/>
              <w:left w:val="nil"/>
              <w:bottom w:val="single" w:color="auto" w:sz="4" w:space="0"/>
              <w:right w:val="single" w:color="auto" w:sz="4" w:space="0"/>
            </w:tcBorders>
            <w:shd w:val="clear" w:color="auto" w:fill="auto"/>
            <w:vAlign w:val="center"/>
          </w:tcPr>
          <w:p w14:paraId="21D6892E">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MID-FA</w:t>
            </w:r>
          </w:p>
        </w:tc>
        <w:tc>
          <w:tcPr>
            <w:tcW w:w="712" w:type="pct"/>
            <w:tcBorders>
              <w:top w:val="nil"/>
              <w:left w:val="nil"/>
              <w:bottom w:val="single" w:color="auto" w:sz="4" w:space="0"/>
              <w:right w:val="single" w:color="auto" w:sz="4" w:space="0"/>
            </w:tcBorders>
            <w:shd w:val="clear" w:color="auto" w:fill="auto"/>
            <w:vAlign w:val="center"/>
          </w:tcPr>
          <w:p w14:paraId="64DCAECF">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2D9F889D">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8</w:t>
            </w:r>
          </w:p>
        </w:tc>
      </w:tr>
      <w:tr w14:paraId="6C873E8D">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3C9CECBA">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智能搬运器</w:t>
            </w:r>
          </w:p>
        </w:tc>
        <w:tc>
          <w:tcPr>
            <w:tcW w:w="1190" w:type="pct"/>
            <w:tcBorders>
              <w:top w:val="nil"/>
              <w:left w:val="nil"/>
              <w:bottom w:val="single" w:color="auto" w:sz="4" w:space="0"/>
              <w:right w:val="single" w:color="auto" w:sz="4" w:space="0"/>
            </w:tcBorders>
            <w:shd w:val="clear" w:color="auto" w:fill="auto"/>
            <w:vAlign w:val="center"/>
          </w:tcPr>
          <w:p w14:paraId="6AF627D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ROB-FA</w:t>
            </w:r>
          </w:p>
        </w:tc>
        <w:tc>
          <w:tcPr>
            <w:tcW w:w="712" w:type="pct"/>
            <w:tcBorders>
              <w:top w:val="nil"/>
              <w:left w:val="nil"/>
              <w:bottom w:val="single" w:color="auto" w:sz="4" w:space="0"/>
              <w:right w:val="single" w:color="auto" w:sz="4" w:space="0"/>
            </w:tcBorders>
            <w:shd w:val="clear" w:color="auto" w:fill="auto"/>
            <w:vAlign w:val="center"/>
          </w:tcPr>
          <w:p w14:paraId="374A06FA">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72760D6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8</w:t>
            </w:r>
          </w:p>
        </w:tc>
      </w:tr>
      <w:tr w14:paraId="1AEE7619">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4CC8E4DB">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出入口系统</w:t>
            </w:r>
          </w:p>
        </w:tc>
        <w:tc>
          <w:tcPr>
            <w:tcW w:w="1190" w:type="pct"/>
            <w:tcBorders>
              <w:top w:val="nil"/>
              <w:left w:val="nil"/>
              <w:bottom w:val="single" w:color="auto" w:sz="4" w:space="0"/>
              <w:right w:val="single" w:color="auto" w:sz="4" w:space="0"/>
            </w:tcBorders>
            <w:shd w:val="clear" w:color="auto" w:fill="auto"/>
            <w:vAlign w:val="center"/>
          </w:tcPr>
          <w:p w14:paraId="772A3A9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IN-FA</w:t>
            </w:r>
          </w:p>
        </w:tc>
        <w:tc>
          <w:tcPr>
            <w:tcW w:w="712" w:type="pct"/>
            <w:tcBorders>
              <w:top w:val="nil"/>
              <w:left w:val="nil"/>
              <w:bottom w:val="single" w:color="auto" w:sz="4" w:space="0"/>
              <w:right w:val="single" w:color="auto" w:sz="4" w:space="0"/>
            </w:tcBorders>
            <w:shd w:val="clear" w:color="auto" w:fill="auto"/>
            <w:vAlign w:val="center"/>
          </w:tcPr>
          <w:p w14:paraId="34EFF114">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3A21A5D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4</w:t>
            </w:r>
          </w:p>
        </w:tc>
      </w:tr>
      <w:tr w14:paraId="2A49BA8E">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16F0C127">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中央控制及管理系统</w:t>
            </w:r>
          </w:p>
        </w:tc>
        <w:tc>
          <w:tcPr>
            <w:tcW w:w="1190" w:type="pct"/>
            <w:tcBorders>
              <w:top w:val="nil"/>
              <w:left w:val="nil"/>
              <w:bottom w:val="single" w:color="auto" w:sz="4" w:space="0"/>
              <w:right w:val="single" w:color="auto" w:sz="4" w:space="0"/>
            </w:tcBorders>
            <w:shd w:val="clear" w:color="auto" w:fill="auto"/>
            <w:vAlign w:val="center"/>
          </w:tcPr>
          <w:p w14:paraId="05DF8C5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CRT-FA</w:t>
            </w:r>
          </w:p>
        </w:tc>
        <w:tc>
          <w:tcPr>
            <w:tcW w:w="712" w:type="pct"/>
            <w:tcBorders>
              <w:top w:val="nil"/>
              <w:left w:val="nil"/>
              <w:bottom w:val="single" w:color="auto" w:sz="4" w:space="0"/>
              <w:right w:val="single" w:color="auto" w:sz="4" w:space="0"/>
            </w:tcBorders>
            <w:shd w:val="clear" w:color="auto" w:fill="auto"/>
            <w:vAlign w:val="center"/>
          </w:tcPr>
          <w:p w14:paraId="25A7AC8B">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10F20E9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2</w:t>
            </w:r>
          </w:p>
        </w:tc>
      </w:tr>
      <w:tr w14:paraId="2AA3A8AA">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0017031A">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监控系统</w:t>
            </w:r>
          </w:p>
        </w:tc>
        <w:tc>
          <w:tcPr>
            <w:tcW w:w="1190" w:type="pct"/>
            <w:tcBorders>
              <w:top w:val="nil"/>
              <w:left w:val="nil"/>
              <w:bottom w:val="single" w:color="auto" w:sz="4" w:space="0"/>
              <w:right w:val="single" w:color="auto" w:sz="4" w:space="0"/>
            </w:tcBorders>
            <w:shd w:val="clear" w:color="auto" w:fill="auto"/>
            <w:vAlign w:val="center"/>
          </w:tcPr>
          <w:p w14:paraId="106EA2E7">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VEO-FA</w:t>
            </w:r>
          </w:p>
        </w:tc>
        <w:tc>
          <w:tcPr>
            <w:tcW w:w="712" w:type="pct"/>
            <w:tcBorders>
              <w:top w:val="nil"/>
              <w:left w:val="nil"/>
              <w:bottom w:val="single" w:color="auto" w:sz="4" w:space="0"/>
              <w:right w:val="single" w:color="auto" w:sz="4" w:space="0"/>
            </w:tcBorders>
            <w:shd w:val="clear" w:color="auto" w:fill="auto"/>
            <w:vAlign w:val="center"/>
          </w:tcPr>
          <w:p w14:paraId="792FBBD7">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2D8DC0E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2</w:t>
            </w:r>
          </w:p>
        </w:tc>
      </w:tr>
      <w:tr w14:paraId="15747A50">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1EF554C2">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安装与调试</w:t>
            </w:r>
          </w:p>
        </w:tc>
        <w:tc>
          <w:tcPr>
            <w:tcW w:w="1190" w:type="pct"/>
            <w:tcBorders>
              <w:top w:val="nil"/>
              <w:left w:val="nil"/>
              <w:bottom w:val="single" w:color="auto" w:sz="4" w:space="0"/>
              <w:right w:val="single" w:color="auto" w:sz="4" w:space="0"/>
            </w:tcBorders>
            <w:shd w:val="clear" w:color="auto" w:fill="auto"/>
            <w:vAlign w:val="center"/>
          </w:tcPr>
          <w:p w14:paraId="7C48C43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AT-FA</w:t>
            </w:r>
          </w:p>
        </w:tc>
        <w:tc>
          <w:tcPr>
            <w:tcW w:w="712" w:type="pct"/>
            <w:tcBorders>
              <w:top w:val="nil"/>
              <w:left w:val="nil"/>
              <w:bottom w:val="single" w:color="auto" w:sz="4" w:space="0"/>
              <w:right w:val="single" w:color="auto" w:sz="4" w:space="0"/>
            </w:tcBorders>
            <w:shd w:val="clear" w:color="auto" w:fill="auto"/>
            <w:vAlign w:val="center"/>
          </w:tcPr>
          <w:p w14:paraId="06CCE75F">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6457749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1</w:t>
            </w:r>
          </w:p>
        </w:tc>
      </w:tr>
      <w:tr w14:paraId="52AC1E4C">
        <w:tblPrEx>
          <w:tblCellMar>
            <w:top w:w="0" w:type="dxa"/>
            <w:left w:w="108" w:type="dxa"/>
            <w:bottom w:w="0" w:type="dxa"/>
            <w:right w:w="108" w:type="dxa"/>
          </w:tblCellMar>
        </w:tblPrEx>
        <w:trPr>
          <w:trHeight w:val="560" w:hRule="atLeast"/>
          <w:jc w:val="center"/>
        </w:trPr>
        <w:tc>
          <w:tcPr>
            <w:tcW w:w="2384" w:type="pct"/>
            <w:tcBorders>
              <w:top w:val="nil"/>
              <w:left w:val="single" w:color="auto" w:sz="4" w:space="0"/>
              <w:bottom w:val="single" w:color="auto" w:sz="4" w:space="0"/>
              <w:right w:val="single" w:color="auto" w:sz="4" w:space="0"/>
            </w:tcBorders>
            <w:shd w:val="clear" w:color="auto" w:fill="auto"/>
            <w:vAlign w:val="center"/>
          </w:tcPr>
          <w:p w14:paraId="3F0C529F">
            <w:pPr>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钢结构</w:t>
            </w:r>
          </w:p>
        </w:tc>
        <w:tc>
          <w:tcPr>
            <w:tcW w:w="1190" w:type="pct"/>
            <w:tcBorders>
              <w:top w:val="nil"/>
              <w:left w:val="nil"/>
              <w:bottom w:val="single" w:color="auto" w:sz="4" w:space="0"/>
              <w:right w:val="single" w:color="auto" w:sz="4" w:space="0"/>
            </w:tcBorders>
            <w:shd w:val="clear" w:color="auto" w:fill="auto"/>
            <w:vAlign w:val="center"/>
          </w:tcPr>
          <w:p w14:paraId="29D0D040">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GJG-FA</w:t>
            </w:r>
          </w:p>
        </w:tc>
        <w:tc>
          <w:tcPr>
            <w:tcW w:w="712" w:type="pct"/>
            <w:tcBorders>
              <w:top w:val="nil"/>
              <w:left w:val="nil"/>
              <w:bottom w:val="single" w:color="auto" w:sz="4" w:space="0"/>
              <w:right w:val="single" w:color="auto" w:sz="4" w:space="0"/>
            </w:tcBorders>
            <w:shd w:val="clear" w:color="auto" w:fill="auto"/>
            <w:vAlign w:val="center"/>
          </w:tcPr>
          <w:p w14:paraId="7802260F">
            <w:pPr>
              <w:tabs>
                <w:tab w:val="center" w:pos="499"/>
              </w:tabs>
              <w:spacing w:line="360" w:lineRule="auto"/>
              <w:ind w:left="0" w:leftChars="0" w:firstLine="0" w:firstLineChars="0"/>
              <w:jc w:val="center"/>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套</w:t>
            </w:r>
          </w:p>
        </w:tc>
        <w:tc>
          <w:tcPr>
            <w:tcW w:w="712" w:type="pct"/>
            <w:tcBorders>
              <w:top w:val="nil"/>
              <w:left w:val="nil"/>
              <w:bottom w:val="single" w:color="auto" w:sz="4" w:space="0"/>
              <w:right w:val="single" w:color="auto" w:sz="4" w:space="0"/>
            </w:tcBorders>
            <w:shd w:val="clear" w:color="auto" w:fill="auto"/>
            <w:vAlign w:val="center"/>
          </w:tcPr>
          <w:p w14:paraId="21E50EF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1</w:t>
            </w:r>
          </w:p>
        </w:tc>
      </w:tr>
    </w:tbl>
    <w:p w14:paraId="7F384F63">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二、服务内容</w:t>
      </w:r>
    </w:p>
    <w:p w14:paraId="04274570">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1</w:t>
      </w:r>
      <w:r>
        <w:rPr>
          <w:rFonts w:hint="eastAsia" w:ascii="仿宋_GB2312" w:hAnsi="宋体" w:eastAsia="仿宋_GB2312" w:cs="宋体"/>
          <w:color w:val="000000"/>
          <w:kern w:val="0"/>
          <w:szCs w:val="24"/>
          <w:lang w:val="en-US" w:eastAsia="zh-CN"/>
        </w:rPr>
        <w:t>.</w:t>
      </w:r>
      <w:r>
        <w:rPr>
          <w:rFonts w:hint="eastAsia" w:ascii="仿宋_GB2312" w:hAnsi="宋体" w:eastAsia="仿宋_GB2312" w:cs="宋体"/>
          <w:color w:val="000000"/>
          <w:kern w:val="0"/>
          <w:szCs w:val="24"/>
          <w:lang w:eastAsia="zh-CN"/>
        </w:rPr>
        <w:t>乙方以包工方式提供服务，市场单价低于1000元的配件免费提供；市场单价超过1000元的配件由甲方承担采购费用，乙方免费提供更换人工服务。</w:t>
      </w:r>
    </w:p>
    <w:p w14:paraId="259C6E9C">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2.提供7×24小时不间断维保服务，接到报修后，维保人员须在20分钟内抵达现场处置故障。</w:t>
      </w:r>
    </w:p>
    <w:p w14:paraId="41792D39">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val="en-US" w:eastAsia="zh-CN"/>
        </w:rPr>
        <w:t>3.每日安排2名持有《特种设备作业人员证》（项目为机械式停车设备安装维修）的专业技术人员驻场，每日在岗时长为8小时。</w:t>
      </w:r>
    </w:p>
    <w:p w14:paraId="2FF6F640">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4.严格执行分级维保制度：每日开展全库区巡检，每周进行保养，每月完成系统性检修。每次维保完成后出具相应维保报告，经甲方签字后留存。</w:t>
      </w:r>
    </w:p>
    <w:p w14:paraId="2366E8D4">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5.每季度开展整机专项深度检修，每半年实施设备深度检修。</w:t>
      </w:r>
    </w:p>
    <w:p w14:paraId="5FD3570D">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6.全权负责车库特种设备的定期检验申报及维保资料备案工作，并承担相关备案资料的编制。</w:t>
      </w:r>
    </w:p>
    <w:p w14:paraId="112A2B59">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7.定期为甲方车库管理人员提供设备操作及基础故障识别的专项培训。</w:t>
      </w:r>
    </w:p>
    <w:p w14:paraId="7BFD2933">
      <w:pPr>
        <w:spacing w:line="360" w:lineRule="auto"/>
        <w:ind w:firstLine="480"/>
        <w:rPr>
          <w:rFonts w:hint="eastAsia" w:ascii="仿宋_GB2312" w:hAnsi="宋体" w:eastAsia="仿宋_GB2312" w:cs="宋体"/>
          <w:color w:val="000000"/>
          <w:kern w:val="0"/>
          <w:szCs w:val="24"/>
          <w:lang w:eastAsia="zh-CN"/>
        </w:rPr>
      </w:pPr>
      <w:r>
        <w:rPr>
          <w:rFonts w:hint="eastAsia" w:ascii="仿宋_GB2312" w:hAnsi="宋体" w:eastAsia="仿宋_GB2312" w:cs="宋体"/>
          <w:color w:val="000000"/>
          <w:kern w:val="0"/>
          <w:szCs w:val="24"/>
          <w:lang w:eastAsia="zh-CN"/>
        </w:rPr>
        <w:t>8.所有维保及抢修服务标准均符合国家及机械式立体车库行业现行规范要求。</w:t>
      </w:r>
    </w:p>
    <w:p w14:paraId="44628D97">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9.完整建立故障工单、维保台账、备件更换</w:t>
      </w:r>
      <w:r>
        <w:rPr>
          <w:rFonts w:hint="eastAsia" w:ascii="仿宋_GB2312" w:hAnsi="宋体" w:eastAsia="仿宋_GB2312" w:cs="宋体"/>
          <w:color w:val="000000"/>
          <w:kern w:val="0"/>
          <w:szCs w:val="24"/>
          <w:lang w:eastAsia="zh-CN"/>
        </w:rPr>
        <w:t>及</w:t>
      </w:r>
      <w:r>
        <w:rPr>
          <w:rFonts w:hint="eastAsia" w:ascii="仿宋_GB2312" w:hAnsi="宋体" w:eastAsia="仿宋_GB2312" w:cs="宋体"/>
          <w:color w:val="000000"/>
          <w:kern w:val="0"/>
          <w:szCs w:val="24"/>
        </w:rPr>
        <w:t>人员考勤</w:t>
      </w:r>
      <w:r>
        <w:rPr>
          <w:rFonts w:hint="eastAsia" w:ascii="仿宋_GB2312" w:hAnsi="宋体" w:eastAsia="仿宋_GB2312" w:cs="宋体"/>
          <w:color w:val="000000"/>
          <w:kern w:val="0"/>
          <w:szCs w:val="24"/>
          <w:lang w:eastAsia="zh-CN"/>
        </w:rPr>
        <w:t>的</w:t>
      </w:r>
      <w:r>
        <w:rPr>
          <w:rFonts w:hint="eastAsia" w:ascii="仿宋_GB2312" w:hAnsi="宋体" w:eastAsia="仿宋_GB2312" w:cs="宋体"/>
          <w:color w:val="000000"/>
          <w:kern w:val="0"/>
          <w:szCs w:val="24"/>
        </w:rPr>
        <w:t>全套档案，作为月度量化考核</w:t>
      </w:r>
      <w:r>
        <w:rPr>
          <w:rFonts w:hint="eastAsia" w:ascii="仿宋_GB2312" w:hAnsi="宋体" w:eastAsia="仿宋_GB2312" w:cs="宋体"/>
          <w:color w:val="000000"/>
          <w:kern w:val="0"/>
          <w:szCs w:val="24"/>
          <w:lang w:eastAsia="zh-CN"/>
        </w:rPr>
        <w:t>的</w:t>
      </w:r>
      <w:r>
        <w:rPr>
          <w:rFonts w:hint="eastAsia" w:ascii="仿宋_GB2312" w:hAnsi="宋体" w:eastAsia="仿宋_GB2312" w:cs="宋体"/>
          <w:color w:val="000000"/>
          <w:kern w:val="0"/>
          <w:szCs w:val="24"/>
        </w:rPr>
        <w:t>原始依据。</w:t>
      </w:r>
    </w:p>
    <w:p w14:paraId="7FAE2FB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三、合同有效期</w:t>
      </w:r>
    </w:p>
    <w:p w14:paraId="1C9B4B7D">
      <w:pPr>
        <w:spacing w:line="360" w:lineRule="auto"/>
        <w:ind w:firstLine="480"/>
        <w:rPr>
          <w:rFonts w:hint="eastAsia" w:ascii="仿宋_GB2312" w:hAnsi="宋体" w:eastAsia="仿宋_GB2312" w:cs="宋体"/>
          <w:color w:val="000000"/>
          <w:kern w:val="0"/>
          <w:szCs w:val="24"/>
          <w:lang w:val="en-US" w:eastAsia="zh-CN"/>
        </w:rPr>
      </w:pPr>
      <w:r>
        <w:rPr>
          <w:rFonts w:hint="eastAsia" w:ascii="仿宋_GB2312" w:hAnsi="宋体" w:eastAsia="仿宋_GB2312" w:cs="宋体"/>
          <w:color w:val="000000"/>
          <w:kern w:val="0"/>
          <w:szCs w:val="24"/>
        </w:rPr>
        <w:t xml:space="preserve">1.由 </w:t>
      </w:r>
      <w:r>
        <w:rPr>
          <w:rFonts w:hint="eastAsia" w:ascii="仿宋_GB2312" w:hAnsi="宋体" w:eastAsia="仿宋_GB2312" w:cs="宋体"/>
          <w:color w:val="000000"/>
          <w:kern w:val="0"/>
          <w:szCs w:val="24"/>
          <w:lang w:val="en-US" w:eastAsia="zh-CN"/>
        </w:rPr>
        <w:t>2026</w:t>
      </w:r>
      <w:r>
        <w:rPr>
          <w:rFonts w:hint="eastAsia" w:ascii="仿宋_GB2312" w:hAnsi="宋体" w:eastAsia="仿宋_GB2312" w:cs="宋体"/>
          <w:color w:val="000000"/>
          <w:kern w:val="0"/>
          <w:szCs w:val="24"/>
        </w:rPr>
        <w:t xml:space="preserve"> 年 </w:t>
      </w:r>
      <w:r>
        <w:rPr>
          <w:rFonts w:hint="eastAsia" w:ascii="仿宋_GB2312" w:hAnsi="宋体" w:eastAsia="仿宋_GB2312" w:cs="宋体"/>
          <w:color w:val="000000"/>
          <w:kern w:val="0"/>
          <w:szCs w:val="24"/>
          <w:lang w:val="en-US" w:eastAsia="zh-CN"/>
        </w:rPr>
        <w:t>9</w:t>
      </w:r>
      <w:r>
        <w:rPr>
          <w:rFonts w:hint="eastAsia" w:ascii="仿宋_GB2312" w:hAnsi="宋体" w:eastAsia="仿宋_GB2312" w:cs="宋体"/>
          <w:color w:val="000000"/>
          <w:kern w:val="0"/>
          <w:szCs w:val="24"/>
        </w:rPr>
        <w:t xml:space="preserve"> 月 </w:t>
      </w:r>
      <w:r>
        <w:rPr>
          <w:rFonts w:hint="eastAsia" w:ascii="仿宋_GB2312" w:hAnsi="宋体" w:eastAsia="仿宋_GB2312" w:cs="宋体"/>
          <w:color w:val="000000"/>
          <w:kern w:val="0"/>
          <w:szCs w:val="24"/>
          <w:lang w:val="en-US" w:eastAsia="zh-CN"/>
        </w:rPr>
        <w:t>10</w:t>
      </w:r>
      <w:r>
        <w:rPr>
          <w:rFonts w:hint="eastAsia" w:ascii="仿宋_GB2312" w:hAnsi="宋体" w:eastAsia="仿宋_GB2312" w:cs="宋体"/>
          <w:color w:val="000000"/>
          <w:kern w:val="0"/>
          <w:szCs w:val="24"/>
        </w:rPr>
        <w:t xml:space="preserve"> 日起至 </w:t>
      </w:r>
      <w:r>
        <w:rPr>
          <w:rFonts w:hint="eastAsia" w:ascii="仿宋_GB2312" w:hAnsi="宋体" w:eastAsia="仿宋_GB2312" w:cs="宋体"/>
          <w:color w:val="000000"/>
          <w:kern w:val="0"/>
          <w:szCs w:val="24"/>
          <w:lang w:val="en-US" w:eastAsia="zh-CN"/>
        </w:rPr>
        <w:t>2028</w:t>
      </w:r>
      <w:r>
        <w:rPr>
          <w:rFonts w:hint="eastAsia" w:ascii="仿宋_GB2312" w:hAnsi="宋体" w:eastAsia="仿宋_GB2312" w:cs="宋体"/>
          <w:color w:val="000000"/>
          <w:kern w:val="0"/>
          <w:szCs w:val="24"/>
        </w:rPr>
        <w:t xml:space="preserve"> 年 </w:t>
      </w:r>
      <w:r>
        <w:rPr>
          <w:rFonts w:hint="eastAsia" w:ascii="仿宋_GB2312" w:hAnsi="宋体" w:eastAsia="仿宋_GB2312" w:cs="宋体"/>
          <w:color w:val="000000"/>
          <w:kern w:val="0"/>
          <w:szCs w:val="24"/>
          <w:lang w:val="en-US" w:eastAsia="zh-CN"/>
        </w:rPr>
        <w:t>9</w:t>
      </w:r>
      <w:r>
        <w:rPr>
          <w:rFonts w:hint="eastAsia" w:ascii="仿宋_GB2312" w:hAnsi="宋体" w:eastAsia="仿宋_GB2312" w:cs="宋体"/>
          <w:color w:val="000000"/>
          <w:kern w:val="0"/>
          <w:szCs w:val="24"/>
        </w:rPr>
        <w:t xml:space="preserve"> 月 </w:t>
      </w:r>
      <w:r>
        <w:rPr>
          <w:rFonts w:hint="eastAsia" w:ascii="仿宋_GB2312" w:hAnsi="宋体" w:eastAsia="仿宋_GB2312" w:cs="宋体"/>
          <w:color w:val="000000"/>
          <w:kern w:val="0"/>
          <w:szCs w:val="24"/>
          <w:lang w:val="en-US" w:eastAsia="zh-CN"/>
        </w:rPr>
        <w:t>9</w:t>
      </w:r>
      <w:r>
        <w:rPr>
          <w:rFonts w:hint="eastAsia" w:ascii="仿宋_GB2312" w:hAnsi="宋体" w:eastAsia="仿宋_GB2312" w:cs="宋体"/>
          <w:color w:val="000000"/>
          <w:kern w:val="0"/>
          <w:szCs w:val="24"/>
        </w:rPr>
        <w:t xml:space="preserve"> 日</w:t>
      </w:r>
      <w:r>
        <w:rPr>
          <w:rFonts w:hint="eastAsia" w:ascii="仿宋_GB2312" w:hAnsi="宋体" w:eastAsia="仿宋_GB2312" w:cs="宋体"/>
          <w:color w:val="000000"/>
          <w:kern w:val="0"/>
          <w:szCs w:val="24"/>
          <w:lang w:eastAsia="zh-CN"/>
        </w:rPr>
        <w:t>。</w:t>
      </w:r>
    </w:p>
    <w:p w14:paraId="11F4F56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2.如因管理权限变更，甲方不再对该车库设备进行管理，则本合同在甲方向乙方发出书面通知之日解除；合同款的清算至解除之日止，双方互不承担其他责任。</w:t>
      </w:r>
    </w:p>
    <w:p w14:paraId="62D0370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四、维护报修方式</w:t>
      </w:r>
    </w:p>
    <w:p w14:paraId="3F964BD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合同期内乙方将为甲方提供</w:t>
      </w:r>
      <w:r>
        <w:rPr>
          <w:rFonts w:hint="eastAsia" w:ascii="仿宋_GB2312" w:hAnsi="宋体" w:eastAsia="仿宋_GB2312" w:cs="宋体"/>
          <w:color w:val="000000"/>
          <w:kern w:val="0"/>
          <w:szCs w:val="24"/>
          <w:lang w:eastAsia="zh-CN"/>
        </w:rPr>
        <w:t>7*</w:t>
      </w:r>
      <w:r>
        <w:rPr>
          <w:rFonts w:hint="eastAsia" w:ascii="仿宋_GB2312" w:hAnsi="宋体" w:eastAsia="仿宋_GB2312" w:cs="宋体"/>
          <w:color w:val="000000"/>
          <w:kern w:val="0"/>
          <w:szCs w:val="24"/>
        </w:rPr>
        <w:t xml:space="preserve">24小时服务（即：合同生效期内任何时间）。当甲方在本合同期中设备出现问题时，可在全时段拨通乙方的售后服务维护热线（ </w:t>
      </w:r>
      <w:r>
        <w:rPr>
          <w:rFonts w:hint="eastAsia" w:ascii="仿宋_GB2312" w:hAnsi="宋体" w:eastAsia="仿宋_GB2312" w:cs="宋体"/>
          <w:color w:val="000000"/>
          <w:kern w:val="0"/>
          <w:szCs w:val="24"/>
          <w:lang w:val="en-US" w:eastAsia="zh-CN"/>
        </w:rPr>
        <w:t xml:space="preserve">          </w:t>
      </w:r>
      <w:r>
        <w:rPr>
          <w:rFonts w:hint="eastAsia" w:ascii="仿宋_GB2312" w:hAnsi="宋体" w:eastAsia="仿宋_GB2312" w:cs="宋体"/>
          <w:color w:val="000000"/>
          <w:kern w:val="0"/>
          <w:szCs w:val="24"/>
        </w:rPr>
        <w:t xml:space="preserve"> 联系人： </w:t>
      </w:r>
      <w:r>
        <w:rPr>
          <w:rFonts w:hint="eastAsia" w:ascii="仿宋_GB2312" w:hAnsi="宋体" w:eastAsia="仿宋_GB2312" w:cs="宋体"/>
          <w:color w:val="000000"/>
          <w:kern w:val="0"/>
          <w:szCs w:val="24"/>
          <w:lang w:val="en-US" w:eastAsia="zh-CN"/>
        </w:rPr>
        <w:t xml:space="preserve">         </w:t>
      </w:r>
      <w:r>
        <w:rPr>
          <w:rFonts w:hint="eastAsia" w:ascii="仿宋_GB2312" w:hAnsi="宋体" w:eastAsia="仿宋_GB2312" w:cs="宋体"/>
          <w:color w:val="000000"/>
          <w:kern w:val="0"/>
          <w:szCs w:val="24"/>
        </w:rPr>
        <w:t xml:space="preserve"> ），并将故障情况告知乙方维护工程师，乙方售后维保人员将在20分钟内到达现场对故障进行处理。</w:t>
      </w:r>
    </w:p>
    <w:p w14:paraId="1359B793">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五、维护保养服务内容</w:t>
      </w:r>
    </w:p>
    <w:p w14:paraId="362E349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乙方将为甲方提供以下服务：乙方将负责甲方设备的所有维护保养，包括日常检查、预防性维护，电话紧急报修，安全检测和维护所需的所有配件设备更换，并填写相应的维保单。具体如下：</w:t>
      </w:r>
    </w:p>
    <w:p w14:paraId="5E66D207">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1.定期检查：</w:t>
      </w:r>
    </w:p>
    <w:p w14:paraId="68B773F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lang w:val="en-US" w:eastAsia="zh-CN"/>
        </w:rPr>
        <w:t>1</w:t>
      </w: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rPr>
        <w:t>各类显示灯、照明的检查。</w:t>
      </w:r>
    </w:p>
    <w:p w14:paraId="37105115">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检查止限开关、极限开关、各电机抱闸和导轮等重要装置的动作情况。</w:t>
      </w:r>
    </w:p>
    <w:p w14:paraId="53B5727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检查设备因污染或其他原因引起异常现象、损坏及异常磨损。</w:t>
      </w:r>
    </w:p>
    <w:p w14:paraId="0E8B2A33">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lang w:val="en-US" w:eastAsia="zh-CN"/>
        </w:rPr>
        <w:t>2</w:t>
      </w: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rPr>
        <w:t>检查继电器等电器件及机械部分的动作情况。</w:t>
      </w:r>
    </w:p>
    <w:p w14:paraId="262434A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lang w:val="en-US" w:eastAsia="zh-CN"/>
        </w:rPr>
        <w:t>3</w:t>
      </w: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rPr>
        <w:t>采用各种计测仪器定期检测，并按照设计值和规定数据进行调整。</w:t>
      </w:r>
    </w:p>
    <w:p w14:paraId="502DCAB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lang w:val="en-US" w:eastAsia="zh-CN"/>
        </w:rPr>
        <w:t>4</w:t>
      </w: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rPr>
        <w:t>对设备总体运行状态进行评估，以做出保养、检修等计划。</w:t>
      </w:r>
    </w:p>
    <w:p w14:paraId="383116F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2.定期保养：进行设备周检、月检工作，对设备内各类运行件的清洁、加油润滑、间隙调整、紧固、定位调整等常规维护工作。</w:t>
      </w:r>
    </w:p>
    <w:p w14:paraId="5A52BFD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3.故障维护：对停机问题进行处理，保证尽快实现设备的运转，对破损及性能下降零部件，采取维护或更换措施。</w:t>
      </w:r>
    </w:p>
    <w:p w14:paraId="07166E9E">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4.对定期维护和不影响正常运行的维护过程中的存取车要求，应在保证安全的情况下予以满足。此时经停车管理人员与维护人员协调后，应暂停维护工作，并将车库操作权交还管理人员，优先提供存取车服务。</w:t>
      </w:r>
    </w:p>
    <w:p w14:paraId="09BD59E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5.乙方保养期间将免费提供单次更换低于</w:t>
      </w:r>
      <w:r>
        <w:rPr>
          <w:rFonts w:hint="eastAsia" w:ascii="仿宋_GB2312" w:hAnsi="宋体" w:eastAsia="仿宋_GB2312" w:cs="宋体"/>
          <w:color w:val="000000"/>
          <w:kern w:val="0"/>
          <w:szCs w:val="24"/>
          <w:lang w:val="en-US" w:eastAsia="zh-CN"/>
        </w:rPr>
        <w:t>1</w:t>
      </w:r>
      <w:r>
        <w:rPr>
          <w:rFonts w:hint="eastAsia" w:ascii="仿宋_GB2312" w:hAnsi="宋体" w:eastAsia="仿宋_GB2312" w:cs="宋体"/>
          <w:color w:val="000000"/>
          <w:kern w:val="0"/>
          <w:szCs w:val="24"/>
        </w:rPr>
        <w:t>000元的（市场价格）、性能可靠的常用备品备件。</w:t>
      </w:r>
    </w:p>
    <w:p w14:paraId="33B6558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六、应尽义务与责任</w:t>
      </w:r>
    </w:p>
    <w:p w14:paraId="6D2ED726">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为使双方的工作能够顺利进行，避免双方产生不必要的损失，双方应做到以下几点：</w:t>
      </w:r>
    </w:p>
    <w:p w14:paraId="7086678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乙方应督促及负责培训设备使用者掌握正确的使用方法。</w:t>
      </w:r>
    </w:p>
    <w:p w14:paraId="1277E72D">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由乙方维护保养不当而造成的损失及责任由乙方承担。</w:t>
      </w:r>
    </w:p>
    <w:p w14:paraId="10CC33A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乙方将协助维保期内设备年审工作，甲方负责年审过程中的全部费用。</w:t>
      </w:r>
    </w:p>
    <w:p w14:paraId="0716291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甲方应配备具有特种设备操作资格的管理人员，并确保人员稳定性。</w:t>
      </w:r>
    </w:p>
    <w:p w14:paraId="0374B04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甲方应尽量避免由于电压、环境温湿度等外因导致的故障和设备非正常磨损。</w:t>
      </w:r>
    </w:p>
    <w:p w14:paraId="1C164A8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甲方确保按协议方式付款，应保证维持设备正常运行的使用和工作条件；</w:t>
      </w:r>
    </w:p>
    <w:p w14:paraId="72EBCD8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因不可抗力因素而导致设备损坏（如战争、地震等）及使用或操作人员人为因素导致设备损坏的，乙方有权向甲方收取额外的维护及材料费用。</w:t>
      </w:r>
    </w:p>
    <w:p w14:paraId="2AAD4A27">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七、服务费用及付款方式</w:t>
      </w:r>
    </w:p>
    <w:p w14:paraId="6D550EE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 xml:space="preserve">1.保养费用：本项目 </w:t>
      </w:r>
      <w:r>
        <w:rPr>
          <w:rFonts w:hint="eastAsia" w:ascii="仿宋_GB2312" w:hAnsi="宋体" w:eastAsia="仿宋_GB2312" w:cs="宋体"/>
          <w:color w:val="000000"/>
          <w:kern w:val="0"/>
          <w:szCs w:val="24"/>
          <w:lang w:val="en-US" w:eastAsia="zh-CN"/>
        </w:rPr>
        <w:t xml:space="preserve">2 </w:t>
      </w:r>
      <w:r>
        <w:rPr>
          <w:rFonts w:hint="eastAsia" w:ascii="仿宋_GB2312" w:hAnsi="宋体" w:eastAsia="仿宋_GB2312" w:cs="宋体"/>
          <w:color w:val="000000"/>
          <w:kern w:val="0"/>
          <w:szCs w:val="24"/>
        </w:rPr>
        <w:t xml:space="preserve">套设备共 </w:t>
      </w:r>
      <w:r>
        <w:rPr>
          <w:rFonts w:hint="eastAsia" w:ascii="仿宋_GB2312" w:hAnsi="宋体" w:eastAsia="仿宋_GB2312" w:cs="宋体"/>
          <w:color w:val="000000"/>
          <w:kern w:val="0"/>
          <w:szCs w:val="24"/>
          <w:lang w:val="en-US" w:eastAsia="zh-CN"/>
        </w:rPr>
        <w:t>204</w:t>
      </w:r>
      <w:r>
        <w:rPr>
          <w:rFonts w:hint="eastAsia" w:ascii="仿宋_GB2312" w:hAnsi="宋体" w:eastAsia="仿宋_GB2312" w:cs="宋体"/>
          <w:color w:val="000000"/>
          <w:kern w:val="0"/>
          <w:szCs w:val="24"/>
        </w:rPr>
        <w:t xml:space="preserve"> 车位，每车位收费 </w:t>
      </w:r>
      <w:r>
        <w:rPr>
          <w:rFonts w:hint="eastAsia" w:ascii="仿宋_GB2312" w:hAnsi="宋体" w:eastAsia="仿宋_GB2312" w:cs="宋体"/>
          <w:color w:val="000000"/>
          <w:kern w:val="0"/>
          <w:szCs w:val="24"/>
          <w:lang w:val="en-US" w:eastAsia="zh-CN"/>
        </w:rPr>
        <w:t xml:space="preserve">    </w:t>
      </w:r>
      <w:r>
        <w:rPr>
          <w:rFonts w:hint="eastAsia" w:ascii="仿宋_GB2312" w:hAnsi="宋体" w:eastAsia="仿宋_GB2312" w:cs="宋体"/>
          <w:color w:val="000000"/>
          <w:kern w:val="0"/>
          <w:szCs w:val="24"/>
        </w:rPr>
        <w:t xml:space="preserve">元/月，本合同共计人民币 (  </w:t>
      </w:r>
      <w:r>
        <w:rPr>
          <w:rFonts w:hint="eastAsia" w:ascii="仿宋_GB2312" w:hAnsi="宋体" w:eastAsia="仿宋_GB2312" w:cs="宋体"/>
          <w:color w:val="000000"/>
          <w:kern w:val="0"/>
          <w:szCs w:val="24"/>
          <w:lang w:val="en-US" w:eastAsia="zh-CN"/>
        </w:rPr>
        <w:t xml:space="preserve">     </w:t>
      </w:r>
      <w:r>
        <w:rPr>
          <w:rFonts w:hint="eastAsia" w:ascii="仿宋_GB2312" w:hAnsi="宋体" w:eastAsia="仿宋_GB2312" w:cs="宋体"/>
          <w:color w:val="000000"/>
          <w:kern w:val="0"/>
          <w:szCs w:val="24"/>
        </w:rPr>
        <w:t xml:space="preserve">  )元/年（该价格免费提供单次更换低于</w:t>
      </w:r>
      <w:r>
        <w:rPr>
          <w:rFonts w:hint="eastAsia" w:ascii="仿宋_GB2312" w:hAnsi="宋体" w:eastAsia="仿宋_GB2312" w:cs="宋体"/>
          <w:color w:val="000000"/>
          <w:kern w:val="0"/>
          <w:szCs w:val="24"/>
          <w:lang w:val="en-US" w:eastAsia="zh-CN"/>
        </w:rPr>
        <w:t>1</w:t>
      </w:r>
      <w:r>
        <w:rPr>
          <w:rFonts w:hint="eastAsia" w:ascii="仿宋_GB2312" w:hAnsi="宋体" w:eastAsia="仿宋_GB2312" w:cs="宋体"/>
          <w:color w:val="000000"/>
          <w:kern w:val="0"/>
          <w:szCs w:val="24"/>
        </w:rPr>
        <w:t>000元的零部件）</w:t>
      </w:r>
    </w:p>
    <w:p w14:paraId="5F56D72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2.支付方式：按</w:t>
      </w:r>
      <w:r>
        <w:rPr>
          <w:rFonts w:hint="eastAsia" w:ascii="仿宋_GB2312" w:hAnsi="宋体" w:eastAsia="仿宋_GB2312" w:cs="宋体"/>
          <w:color w:val="000000"/>
          <w:kern w:val="0"/>
          <w:szCs w:val="24"/>
          <w:lang w:val="en-US" w:eastAsia="zh-CN"/>
        </w:rPr>
        <w:t>季</w:t>
      </w:r>
      <w:r>
        <w:rPr>
          <w:rFonts w:hint="eastAsia" w:ascii="仿宋_GB2312" w:hAnsi="宋体" w:eastAsia="仿宋_GB2312" w:cs="宋体"/>
          <w:color w:val="000000"/>
          <w:kern w:val="0"/>
          <w:szCs w:val="24"/>
        </w:rPr>
        <w:t>度支付</w:t>
      </w:r>
    </w:p>
    <w:p w14:paraId="0A52D7D7">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3.发票类别：服务类增值税专用发票</w:t>
      </w:r>
    </w:p>
    <w:p w14:paraId="02D2CE80">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本合同服务费用包括服务内容所发生的费用，但不包括以下费用：</w:t>
      </w:r>
    </w:p>
    <w:p w14:paraId="582E45BD">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因使用方管理原因、违章操作、驾驶员误操作致使车辆失控撞击或其它不属于乙方责任引起的车库故障、事故所发生的费用。</w:t>
      </w:r>
    </w:p>
    <w:p w14:paraId="138E662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大中修费用（车库运行5年后应进行中修；10年后应进行大修。大中修费用根据车库使用及零部件更换情况，由甲乙双方协商确定）。</w:t>
      </w:r>
    </w:p>
    <w:p w14:paraId="619E6B4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 xml:space="preserve">单次更换零配件超出 </w:t>
      </w:r>
      <w:r>
        <w:rPr>
          <w:rFonts w:hint="eastAsia" w:ascii="仿宋_GB2312" w:hAnsi="宋体" w:eastAsia="仿宋_GB2312" w:cs="宋体"/>
          <w:color w:val="000000"/>
          <w:kern w:val="0"/>
          <w:szCs w:val="24"/>
          <w:lang w:val="en-US" w:eastAsia="zh-CN"/>
        </w:rPr>
        <w:t>1</w:t>
      </w:r>
      <w:r>
        <w:rPr>
          <w:rFonts w:hint="eastAsia" w:ascii="仿宋_GB2312" w:hAnsi="宋体" w:eastAsia="仿宋_GB2312" w:cs="宋体"/>
          <w:color w:val="000000"/>
          <w:kern w:val="0"/>
          <w:szCs w:val="24"/>
        </w:rPr>
        <w:t>000 元的，经双方确认后，由甲方支付费用采购。</w:t>
      </w:r>
    </w:p>
    <w:p w14:paraId="450877F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乙方协助甲方办理智能车库相关保险，费用由甲方承担</w:t>
      </w:r>
      <w:r>
        <w:rPr>
          <w:rFonts w:hint="eastAsia" w:ascii="仿宋_GB2312" w:hAnsi="宋体" w:eastAsia="仿宋_GB2312" w:cs="宋体"/>
          <w:color w:val="000000"/>
          <w:kern w:val="0"/>
          <w:szCs w:val="24"/>
          <w:lang w:eastAsia="zh-CN"/>
        </w:rPr>
        <w:t>。</w:t>
      </w:r>
    </w:p>
    <w:p w14:paraId="0B9E9013">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针对本条第（1）款费用，若属于一般故障，且能在二十四小时内排除解决的，乙方免收服务费，但所发生的配件购置费、辅料等直接费用由使用方负责。</w:t>
      </w:r>
    </w:p>
    <w:p w14:paraId="4DB4CD40">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针对本条第（2）款费用，若甲方提出委托乙方完成，则双方应另行签订协议。</w:t>
      </w:r>
    </w:p>
    <w:p w14:paraId="4587241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针对本条第（3）款费用，按实际产生与维保费一起结算。</w:t>
      </w:r>
    </w:p>
    <w:p w14:paraId="7D6E2F6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4.双方确认开票信息：</w:t>
      </w:r>
    </w:p>
    <w:p w14:paraId="326170BC">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 xml:space="preserve">甲方（单位名称）：深圳书城龙华城实业有限公司 </w:t>
      </w:r>
    </w:p>
    <w:p w14:paraId="5E87223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 xml:space="preserve">纳税人识别号：91440300MA5FGQPA99       </w:t>
      </w:r>
    </w:p>
    <w:p w14:paraId="013430D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注册地址：深圳市龙华区龙华街道富康社区梅龙大道1389号深圳书城龙华城负2层至7层</w:t>
      </w:r>
    </w:p>
    <w:p w14:paraId="3B65FB00">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 xml:space="preserve">开户银行：中国建设银行深圳清湖支行 </w:t>
      </w:r>
    </w:p>
    <w:p w14:paraId="1128FB1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 xml:space="preserve">银行账号：44250110995409000066 </w:t>
      </w:r>
    </w:p>
    <w:p w14:paraId="2CBDDEE8">
      <w:pPr>
        <w:spacing w:line="360" w:lineRule="auto"/>
        <w:ind w:firstLine="480"/>
        <w:rPr>
          <w:rFonts w:hint="eastAsia" w:ascii="仿宋_GB2312" w:hAnsi="宋体" w:eastAsia="仿宋_GB2312" w:cs="宋体"/>
          <w:color w:val="000000"/>
          <w:kern w:val="0"/>
          <w:szCs w:val="24"/>
        </w:rPr>
      </w:pPr>
    </w:p>
    <w:p w14:paraId="5640CAE3">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乙方（单位名称）：</w:t>
      </w:r>
    </w:p>
    <w:p w14:paraId="057B1A7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纳税人识别号：</w:t>
      </w:r>
      <w:r>
        <w:rPr>
          <w:rFonts w:hint="eastAsia" w:ascii="仿宋_GB2312" w:hAnsi="宋体" w:eastAsia="仿宋_GB2312" w:cs="宋体"/>
          <w:color w:val="000000"/>
          <w:kern w:val="0"/>
          <w:szCs w:val="24"/>
          <w:lang w:val="en-US" w:eastAsia="zh-CN"/>
        </w:rPr>
        <w:t xml:space="preserve">              </w:t>
      </w:r>
    </w:p>
    <w:p w14:paraId="34BE05B5">
      <w:pPr>
        <w:spacing w:line="360" w:lineRule="auto"/>
        <w:ind w:firstLine="480"/>
        <w:rPr>
          <w:rFonts w:hint="default" w:ascii="仿宋_GB2312" w:hAnsi="宋体" w:eastAsia="仿宋_GB2312" w:cs="宋体"/>
          <w:color w:val="000000"/>
          <w:kern w:val="0"/>
          <w:szCs w:val="24"/>
          <w:lang w:val="en-US"/>
        </w:rPr>
      </w:pPr>
      <w:r>
        <w:rPr>
          <w:rFonts w:hint="eastAsia" w:ascii="仿宋_GB2312" w:hAnsi="宋体" w:eastAsia="仿宋_GB2312" w:cs="宋体"/>
          <w:color w:val="000000"/>
          <w:kern w:val="0"/>
          <w:szCs w:val="24"/>
        </w:rPr>
        <w:t>注册地址：</w:t>
      </w:r>
      <w:r>
        <w:rPr>
          <w:rFonts w:hint="eastAsia" w:ascii="仿宋_GB2312" w:hAnsi="宋体" w:eastAsia="仿宋_GB2312" w:cs="宋体"/>
          <w:color w:val="000000"/>
          <w:kern w:val="0"/>
          <w:szCs w:val="24"/>
          <w:lang w:val="en-US" w:eastAsia="zh-CN"/>
        </w:rPr>
        <w:t xml:space="preserve">                  </w:t>
      </w:r>
    </w:p>
    <w:p w14:paraId="7C0E9827">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开户银行：</w:t>
      </w:r>
      <w:r>
        <w:rPr>
          <w:rFonts w:hint="eastAsia" w:ascii="仿宋_GB2312" w:hAnsi="宋体" w:eastAsia="仿宋_GB2312" w:cs="宋体"/>
          <w:color w:val="000000"/>
          <w:kern w:val="0"/>
          <w:szCs w:val="24"/>
          <w:lang w:val="en-US" w:eastAsia="zh-CN"/>
        </w:rPr>
        <w:t xml:space="preserve">                  </w:t>
      </w:r>
    </w:p>
    <w:p w14:paraId="2F73D71E">
      <w:pPr>
        <w:spacing w:line="360" w:lineRule="auto"/>
        <w:ind w:firstLine="480"/>
        <w:rPr>
          <w:rFonts w:hint="eastAsia" w:ascii="仿宋_GB2312" w:hAnsi="宋体" w:eastAsia="仿宋_GB2312" w:cs="宋体"/>
          <w:color w:val="000000"/>
          <w:kern w:val="0"/>
          <w:szCs w:val="24"/>
          <w:lang w:val="en-US" w:eastAsia="zh-CN"/>
        </w:rPr>
      </w:pPr>
      <w:r>
        <w:rPr>
          <w:rFonts w:hint="eastAsia" w:ascii="仿宋_GB2312" w:hAnsi="宋体" w:eastAsia="仿宋_GB2312" w:cs="宋体"/>
          <w:color w:val="000000"/>
          <w:kern w:val="0"/>
          <w:szCs w:val="24"/>
        </w:rPr>
        <w:t>银行账号：</w:t>
      </w:r>
      <w:r>
        <w:rPr>
          <w:rFonts w:hint="eastAsia" w:ascii="仿宋_GB2312" w:hAnsi="宋体" w:eastAsia="仿宋_GB2312" w:cs="宋体"/>
          <w:color w:val="000000"/>
          <w:kern w:val="0"/>
          <w:szCs w:val="24"/>
          <w:lang w:val="en-US" w:eastAsia="zh-CN"/>
        </w:rPr>
        <w:t xml:space="preserve">                  </w:t>
      </w:r>
    </w:p>
    <w:p w14:paraId="548D477D">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5.乙方向甲方提交增值税</w:t>
      </w:r>
      <w:r>
        <w:rPr>
          <w:rFonts w:hint="eastAsia" w:ascii="仿宋_GB2312" w:hAnsi="宋体" w:eastAsia="仿宋_GB2312" w:cs="宋体"/>
          <w:color w:val="000000"/>
          <w:kern w:val="0"/>
          <w:szCs w:val="24"/>
          <w:lang w:val="en-US" w:eastAsia="zh-CN"/>
        </w:rPr>
        <w:t>专用</w:t>
      </w:r>
      <w:r>
        <w:rPr>
          <w:rFonts w:hint="eastAsia" w:ascii="仿宋_GB2312" w:hAnsi="宋体" w:eastAsia="仿宋_GB2312" w:cs="宋体"/>
          <w:color w:val="000000"/>
          <w:kern w:val="0"/>
          <w:szCs w:val="24"/>
        </w:rPr>
        <w:t>发票及服务定期报告等资料，甲方核对无误后，10个工作日内予以支付至乙方指定账户。因乙方未按时提供发票导致甲方付款迟延的，甲方不构成违约。</w:t>
      </w:r>
    </w:p>
    <w:p w14:paraId="449124B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八、违约责任</w:t>
      </w:r>
    </w:p>
    <w:p w14:paraId="42463C8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1.甲方逾期支付维保服务费超过3个月，乙方有权单方解除合同，甲方需结清全部未付服务费，并承担乙方资金占用损失；</w:t>
      </w:r>
    </w:p>
    <w:p w14:paraId="266A422B">
      <w:pPr>
        <w:spacing w:line="360" w:lineRule="auto"/>
        <w:ind w:firstLine="480"/>
        <w:rPr>
          <w:rFonts w:hint="eastAsia" w:ascii="仿宋_GB2312" w:hAnsi="宋体" w:eastAsia="仿宋_GB2312" w:cs="宋体"/>
          <w:color w:val="000000"/>
          <w:kern w:val="0"/>
          <w:szCs w:val="24"/>
          <w:lang w:val="en-US" w:eastAsia="zh-CN"/>
        </w:rPr>
      </w:pPr>
      <w:r>
        <w:rPr>
          <w:rFonts w:hint="eastAsia" w:ascii="仿宋_GB2312" w:hAnsi="宋体" w:eastAsia="仿宋_GB2312" w:cs="宋体"/>
          <w:color w:val="000000"/>
          <w:kern w:val="0"/>
          <w:szCs w:val="24"/>
        </w:rPr>
        <w:t>2.单自然月内乙方报修到场超时累计3次及以上，甲方有权解除本合同</w:t>
      </w:r>
      <w:r>
        <w:rPr>
          <w:rFonts w:hint="eastAsia" w:ascii="仿宋_GB2312" w:hAnsi="宋体" w:eastAsia="仿宋_GB2312" w:cs="宋体"/>
          <w:color w:val="000000"/>
          <w:kern w:val="0"/>
          <w:szCs w:val="24"/>
          <w:lang w:val="en-US" w:eastAsia="zh-CN"/>
        </w:rPr>
        <w:t>;</w:t>
      </w:r>
    </w:p>
    <w:p w14:paraId="55FE2823">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3.乙方使用劣质、非原厂适配备件造成设备次生故障，乙方承担全部维修、赔偿损失，并按单次故障扣除当月服务费30%；</w:t>
      </w:r>
    </w:p>
    <w:p w14:paraId="38BE6EFE">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4.乙方未按20分钟到场承诺及时处置故障，引发车主投诉、索赔的，全部赔偿费用由乙方承担；</w:t>
      </w:r>
    </w:p>
    <w:p w14:paraId="3CE5861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5.本章违约条款与第九章《维保服务量化考核、违约扣款与合同解除处置》并行执行，同一违约行为甲方可同时主张考核扣款、违约金、单方解除合同权利。</w:t>
      </w:r>
    </w:p>
    <w:p w14:paraId="63B1C3C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九</w:t>
      </w:r>
      <w:r>
        <w:rPr>
          <w:rFonts w:hint="eastAsia" w:ascii="仿宋_GB2312" w:hAnsi="宋体" w:eastAsia="仿宋_GB2312" w:cs="宋体"/>
          <w:color w:val="000000"/>
          <w:kern w:val="0"/>
          <w:szCs w:val="24"/>
          <w:lang w:eastAsia="zh-CN"/>
        </w:rPr>
        <w:t>、</w:t>
      </w:r>
      <w:r>
        <w:rPr>
          <w:rFonts w:hint="eastAsia" w:ascii="仿宋_GB2312" w:hAnsi="宋体" w:eastAsia="仿宋_GB2312" w:cs="宋体"/>
          <w:color w:val="000000"/>
          <w:kern w:val="0"/>
          <w:szCs w:val="24"/>
        </w:rPr>
        <w:t>维保服务量化考核、违约扣款与合同解除处置</w:t>
      </w:r>
    </w:p>
    <w:p w14:paraId="309209EC">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9.1考核周期、核算口径及免责说明</w:t>
      </w:r>
    </w:p>
    <w:p w14:paraId="4A2A6E56">
      <w:pPr>
        <w:spacing w:line="360" w:lineRule="auto"/>
        <w:ind w:firstLine="480"/>
        <w:rPr>
          <w:rFonts w:hint="eastAsia" w:eastAsia="宋体"/>
          <w:lang w:eastAsia="zh-CN"/>
        </w:rPr>
      </w:pPr>
      <w:r>
        <w:rPr>
          <w:rFonts w:hint="eastAsia" w:ascii="仿宋_GB2312" w:hAnsi="宋体" w:eastAsia="仿宋_GB2312" w:cs="宋体"/>
          <w:color w:val="000000"/>
          <w:kern w:val="0"/>
          <w:szCs w:val="24"/>
          <w:lang w:eastAsia="zh-CN"/>
        </w:rPr>
        <w:t>考核周期：以自然月为单位开展月度量化考核，</w:t>
      </w:r>
      <w:r>
        <w:rPr>
          <w:rFonts w:hint="eastAsia" w:ascii="仿宋_GB2312" w:hAnsi="宋体" w:eastAsia="仿宋_GB2312" w:cs="宋体"/>
          <w:color w:val="000000"/>
          <w:kern w:val="0"/>
          <w:szCs w:val="24"/>
          <w:lang w:val="en-US" w:eastAsia="zh-CN"/>
        </w:rPr>
        <w:t>取连续三个月的平均故障率作为考核依据，每季度汇总当期全部月度扣款，所有扣款直接从对应季度的维保服务费中抵扣。</w:t>
      </w:r>
    </w:p>
    <w:p w14:paraId="1025D664">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故障率计算规则：车库总车位204个；月度存取车故障率=当月存取车故障总工单÷204×100%；仅统计存取车功能故障工单，单纯传感器红灯告警、日常巡检隐患、非存取类设备告警不计入故障工单统计。</w:t>
      </w:r>
    </w:p>
    <w:p w14:paraId="6ABC439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考核判定原始材料：乙方每日巡检台账、周/月/季度维保报告、分类标注故障类型的完整工单、备件更换台账；甲方现场抽查记录、报修登记台账。</w:t>
      </w:r>
    </w:p>
    <w:p w14:paraId="53B08BE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客观免责情形：因市政停电、原厂核心定制配件供货延期、设备厂家远程技术支援延迟、极端恶劣天气、商场大型活动封闭车库等第三方不可控因素，导致维保、故障修复延误；乙方提前3个工作日向甲方提交书面报备，同步附上订单、物流、通知等佐证材料，对应延误不计入考核、不予扣款。</w:t>
      </w:r>
    </w:p>
    <w:p w14:paraId="0BA8A6BF">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9.2月度各项指标扣款标准</w:t>
      </w:r>
    </w:p>
    <w:p w14:paraId="7A1F6DE2">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9.2.1月度存取车故障率管控扣款</w:t>
      </w:r>
    </w:p>
    <w:p w14:paraId="2A4A845E">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乙方每月须将存取车故障率控制在≤2.0%以内：</w:t>
      </w:r>
    </w:p>
    <w:p w14:paraId="7B674341">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故障率每超出2.0%标准1个百分点，扣除当月维保服务费3%；</w:t>
      </w:r>
    </w:p>
    <w:p w14:paraId="1953301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单月存取车故障率＞4.0%：首次发生仅下发书面整改通知书，免于扣款，乙方5个工作日内提交完整专项整改报告，列明故障根源、整改措施、完成时限；第二次及后续任意月度故障率＞4.0%，按本条前款正常执行扣款；</w:t>
      </w:r>
    </w:p>
    <w:p w14:paraId="13023D18">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连续两个月月度存取车故障率＞4.0%，视为乙方严重履约违约，甲方有权单方解除合同，乙方支付合同总金额10%违约金，并赔偿甲方全部运营损失、客户赔付、设备维修损失。</w:t>
      </w:r>
    </w:p>
    <w:p w14:paraId="3F94B706">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lang w:val="en-US" w:eastAsia="zh-CN"/>
        </w:rPr>
        <w:t>十</w:t>
      </w:r>
      <w:r>
        <w:rPr>
          <w:rFonts w:hint="eastAsia" w:ascii="仿宋_GB2312" w:hAnsi="宋体" w:eastAsia="仿宋_GB2312" w:cs="宋体"/>
          <w:color w:val="000000"/>
          <w:kern w:val="0"/>
          <w:szCs w:val="24"/>
        </w:rPr>
        <w:t>、其他</w:t>
      </w:r>
    </w:p>
    <w:p w14:paraId="1719307A">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1.本合同应该在维保期开始前一周内签订，一经双方加盖公章后既生效。</w:t>
      </w:r>
    </w:p>
    <w:p w14:paraId="4C354699">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2.双方应积极配合，按合同有关条款开展工作，任何一方不得随意终止合同。未尽事宜双方友好协商解决。</w:t>
      </w:r>
    </w:p>
    <w:p w14:paraId="375F371B">
      <w:pPr>
        <w:spacing w:line="360" w:lineRule="auto"/>
        <w:ind w:firstLine="480"/>
        <w:rPr>
          <w:rFonts w:hint="eastAsia" w:ascii="仿宋_GB2312" w:hAnsi="宋体" w:eastAsia="仿宋_GB2312" w:cs="宋体"/>
          <w:color w:val="000000"/>
          <w:kern w:val="0"/>
          <w:szCs w:val="24"/>
        </w:rPr>
      </w:pPr>
      <w:r>
        <w:rPr>
          <w:rFonts w:hint="eastAsia" w:ascii="仿宋_GB2312" w:hAnsi="宋体" w:eastAsia="仿宋_GB2312" w:cs="宋体"/>
          <w:color w:val="000000"/>
          <w:kern w:val="0"/>
          <w:szCs w:val="24"/>
        </w:rPr>
        <w:t>3.甲乙双方在履行本合同过程中发生争议的，应协商解决，协商不成的，任何一方可向甲方所在地有管辖权的人民法院提起诉讼。</w:t>
      </w:r>
    </w:p>
    <w:p w14:paraId="581C862F">
      <w:pPr>
        <w:spacing w:line="360" w:lineRule="auto"/>
        <w:ind w:firstLine="480"/>
        <w:rPr>
          <w:rFonts w:hint="eastAsia" w:ascii="宋体" w:hAnsi="宋体" w:cs="宋体"/>
          <w:szCs w:val="24"/>
        </w:rPr>
      </w:pPr>
      <w:r>
        <w:rPr>
          <w:rFonts w:hint="eastAsia" w:ascii="仿宋_GB2312" w:hAnsi="宋体" w:eastAsia="仿宋_GB2312" w:cs="宋体"/>
          <w:color w:val="000000"/>
          <w:kern w:val="0"/>
          <w:szCs w:val="24"/>
        </w:rPr>
        <w:t>4.此合同壹式肆份，甲方执叁份，乙方执壹份，具有同等法律效力。</w:t>
      </w:r>
    </w:p>
    <w:p w14:paraId="38271683">
      <w:pPr>
        <w:spacing w:line="360" w:lineRule="auto"/>
        <w:ind w:firstLine="960" w:firstLineChars="400"/>
        <w:rPr>
          <w:rFonts w:hint="eastAsia" w:ascii="宋体" w:hAnsi="宋体" w:cs="宋体"/>
          <w:szCs w:val="24"/>
        </w:rPr>
      </w:pPr>
      <w:r>
        <w:rPr>
          <w:rFonts w:ascii="Times New Roman" w:hAnsi="Times New Roman" w:cs="Times New Roman"/>
          <w:szCs w:val="24"/>
        </w:rPr>
        <mc:AlternateContent>
          <mc:Choice Requires="wps">
            <w:drawing>
              <wp:anchor distT="0" distB="0" distL="114300" distR="114300" simplePos="0" relativeHeight="251659264" behindDoc="0" locked="0" layoutInCell="1" allowOverlap="1">
                <wp:simplePos x="0" y="0"/>
                <wp:positionH relativeFrom="column">
                  <wp:posOffset>3022600</wp:posOffset>
                </wp:positionH>
                <wp:positionV relativeFrom="paragraph">
                  <wp:posOffset>118110</wp:posOffset>
                </wp:positionV>
                <wp:extent cx="2572385" cy="1390650"/>
                <wp:effectExtent l="0" t="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572385" cy="1390650"/>
                        </a:xfrm>
                        <a:prstGeom prst="rect">
                          <a:avLst/>
                        </a:prstGeom>
                        <a:gradFill rotWithShape="0">
                          <a:gsLst>
                            <a:gs pos="0">
                              <a:srgbClr val="FFFFFF"/>
                            </a:gs>
                            <a:gs pos="100000">
                              <a:srgbClr val="FFFFFF"/>
                            </a:gs>
                          </a:gsLst>
                          <a:lin ang="0"/>
                        </a:gradFill>
                        <a:ln>
                          <a:noFill/>
                        </a:ln>
                      </wps:spPr>
                      <wps:txbx>
                        <w:txbxContent>
                          <w:p w14:paraId="173C67BD">
                            <w:pPr>
                              <w:spacing w:line="360" w:lineRule="auto"/>
                              <w:ind w:firstLine="480"/>
                              <w:rPr>
                                <w:rFonts w:hint="eastAsia" w:ascii="仿宋_GB2312" w:hAnsi="宋体" w:eastAsia="仿宋_GB2312" w:cs="宋体"/>
                              </w:rPr>
                            </w:pPr>
                            <w:r>
                              <w:rPr>
                                <w:rFonts w:hint="eastAsia" w:ascii="仿宋_GB2312" w:hAnsi="宋体" w:eastAsia="仿宋_GB2312" w:cs="宋体"/>
                              </w:rPr>
                              <w:t>乙方：</w:t>
                            </w:r>
                          </w:p>
                          <w:p w14:paraId="03646B4C">
                            <w:pPr>
                              <w:spacing w:line="360" w:lineRule="auto"/>
                              <w:ind w:firstLine="480"/>
                              <w:rPr>
                                <w:rFonts w:hint="eastAsia" w:ascii="仿宋_GB2312" w:hAnsi="宋体" w:eastAsia="仿宋_GB2312" w:cs="宋体"/>
                              </w:rPr>
                            </w:pPr>
                            <w:r>
                              <w:rPr>
                                <w:rFonts w:hint="eastAsia" w:ascii="仿宋_GB2312" w:hAnsi="宋体" w:eastAsia="仿宋_GB2312" w:cs="宋体"/>
                              </w:rPr>
                              <w:t xml:space="preserve">法人或授权代表：        </w:t>
                            </w:r>
                          </w:p>
                          <w:p w14:paraId="3E74E779">
                            <w:pPr>
                              <w:spacing w:line="360" w:lineRule="auto"/>
                              <w:ind w:firstLine="960" w:firstLineChars="400"/>
                              <w:rPr>
                                <w:rFonts w:hint="eastAsia" w:ascii="仿宋_GB2312" w:hAnsi="宋体" w:eastAsia="仿宋_GB2312" w:cs="宋体"/>
                              </w:rPr>
                            </w:pPr>
                            <w:r>
                              <w:rPr>
                                <w:rFonts w:hint="eastAsia" w:ascii="仿宋_GB2312" w:hAnsi="宋体" w:eastAsia="仿宋_GB2312" w:cs="宋体"/>
                              </w:rPr>
                              <w:t>年   月   日</w:t>
                            </w:r>
                          </w:p>
                          <w:p w14:paraId="25E0F4E2">
                            <w:pPr>
                              <w:ind w:firstLine="480"/>
                              <w:rPr>
                                <w:rFonts w:hint="eastAsia"/>
                              </w:rPr>
                            </w:pPr>
                          </w:p>
                          <w:p w14:paraId="421F5978">
                            <w:pPr>
                              <w:ind w:firstLine="480"/>
                              <w:rPr>
                                <w:rFonts w:hint="eastAsia"/>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38pt;margin-top:9.3pt;height:109.5pt;width:202.55pt;z-index:251659264;mso-width-relative:page;mso-height-relative:page;" fillcolor="#FFFFFF" filled="t" stroked="f" coordsize="21600,21600" o:gfxdata="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1f&#10;G/PYAAAACgEAAA8AAAAAAAAAAQAgAAAAIgAAAGRycy9kb3ducmV2LnhtbFBLAQIUABQAAAAIAIdO&#10;4kCnHvPvXAIAALkEAAAOAAAAAAAAAAEAIAAAACcBAABkcnMvZTJvRG9jLnhtbFBLBQYAAAAABgAG&#10;AFkBAAD1BQAAAAA=&#10;">
                <v:fill type="gradient" on="t" color2="#FFFFFF" angle="90" focus="100%" focussize="0,0">
                  <o:fill type="gradientUnscaled" v:ext="backwardCompatible"/>
                </v:fill>
                <v:stroke on="f"/>
                <v:imagedata o:title=""/>
                <o:lock v:ext="edit" aspectratio="f"/>
                <v:textbox>
                  <w:txbxContent>
                    <w:p w14:paraId="173C67BD">
                      <w:pPr>
                        <w:spacing w:line="360" w:lineRule="auto"/>
                        <w:ind w:firstLine="480"/>
                        <w:rPr>
                          <w:rFonts w:hint="eastAsia" w:ascii="仿宋_GB2312" w:hAnsi="宋体" w:eastAsia="仿宋_GB2312" w:cs="宋体"/>
                        </w:rPr>
                      </w:pPr>
                      <w:r>
                        <w:rPr>
                          <w:rFonts w:hint="eastAsia" w:ascii="仿宋_GB2312" w:hAnsi="宋体" w:eastAsia="仿宋_GB2312" w:cs="宋体"/>
                        </w:rPr>
                        <w:t>乙方：</w:t>
                      </w:r>
                    </w:p>
                    <w:p w14:paraId="03646B4C">
                      <w:pPr>
                        <w:spacing w:line="360" w:lineRule="auto"/>
                        <w:ind w:firstLine="480"/>
                        <w:rPr>
                          <w:rFonts w:hint="eastAsia" w:ascii="仿宋_GB2312" w:hAnsi="宋体" w:eastAsia="仿宋_GB2312" w:cs="宋体"/>
                        </w:rPr>
                      </w:pPr>
                      <w:r>
                        <w:rPr>
                          <w:rFonts w:hint="eastAsia" w:ascii="仿宋_GB2312" w:hAnsi="宋体" w:eastAsia="仿宋_GB2312" w:cs="宋体"/>
                        </w:rPr>
                        <w:t xml:space="preserve">法人或授权代表：        </w:t>
                      </w:r>
                    </w:p>
                    <w:p w14:paraId="3E74E779">
                      <w:pPr>
                        <w:spacing w:line="360" w:lineRule="auto"/>
                        <w:ind w:firstLine="960" w:firstLineChars="400"/>
                        <w:rPr>
                          <w:rFonts w:hint="eastAsia" w:ascii="仿宋_GB2312" w:hAnsi="宋体" w:eastAsia="仿宋_GB2312" w:cs="宋体"/>
                        </w:rPr>
                      </w:pPr>
                      <w:r>
                        <w:rPr>
                          <w:rFonts w:hint="eastAsia" w:ascii="仿宋_GB2312" w:hAnsi="宋体" w:eastAsia="仿宋_GB2312" w:cs="宋体"/>
                        </w:rPr>
                        <w:t>年   月   日</w:t>
                      </w:r>
                    </w:p>
                    <w:p w14:paraId="25E0F4E2">
                      <w:pPr>
                        <w:ind w:firstLine="480"/>
                        <w:rPr>
                          <w:rFonts w:hint="eastAsia"/>
                        </w:rPr>
                      </w:pPr>
                    </w:p>
                    <w:p w14:paraId="421F5978">
                      <w:pPr>
                        <w:ind w:firstLine="480"/>
                        <w:rPr>
                          <w:rFonts w:hint="eastAsia"/>
                        </w:rPr>
                      </w:pPr>
                    </w:p>
                  </w:txbxContent>
                </v:textbox>
              </v:shape>
            </w:pict>
          </mc:Fallback>
        </mc:AlternateContent>
      </w:r>
      <w:r>
        <w:rPr>
          <w:rFonts w:ascii="Times New Roman" w:hAnsi="Times New Roman" w:cs="Times New Roman"/>
          <w:szCs w:val="24"/>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78105</wp:posOffset>
                </wp:positionV>
                <wp:extent cx="3067050" cy="1392555"/>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3067050" cy="1392555"/>
                        </a:xfrm>
                        <a:prstGeom prst="rect">
                          <a:avLst/>
                        </a:prstGeom>
                        <a:gradFill rotWithShape="0">
                          <a:gsLst>
                            <a:gs pos="0">
                              <a:srgbClr val="FFFFFF"/>
                            </a:gs>
                            <a:gs pos="100000">
                              <a:srgbClr val="FFFFFF"/>
                            </a:gs>
                          </a:gsLst>
                          <a:lin ang="0"/>
                        </a:gradFill>
                        <a:ln>
                          <a:noFill/>
                        </a:ln>
                      </wps:spPr>
                      <wps:txbx>
                        <w:txbxContent>
                          <w:p w14:paraId="7E1003B3">
                            <w:pPr>
                              <w:spacing w:line="360" w:lineRule="auto"/>
                              <w:ind w:firstLine="480"/>
                              <w:rPr>
                                <w:rFonts w:hint="eastAsia" w:ascii="仿宋_GB2312" w:hAnsi="宋体" w:eastAsia="仿宋_GB2312" w:cs="宋体"/>
                                <w:szCs w:val="24"/>
                              </w:rPr>
                            </w:pPr>
                            <w:r>
                              <w:rPr>
                                <w:rFonts w:hint="eastAsia" w:ascii="仿宋_GB2312" w:hAnsi="宋体" w:eastAsia="仿宋_GB2312" w:cs="宋体"/>
                                <w:szCs w:val="24"/>
                              </w:rPr>
                              <w:t>甲方：深圳书城龙华城实业有限公司</w:t>
                            </w:r>
                          </w:p>
                          <w:p w14:paraId="476AF89E">
                            <w:pPr>
                              <w:spacing w:line="360" w:lineRule="auto"/>
                              <w:ind w:firstLine="480"/>
                              <w:rPr>
                                <w:rFonts w:hint="eastAsia" w:ascii="仿宋_GB2312" w:hAnsi="宋体" w:eastAsia="仿宋_GB2312" w:cs="宋体"/>
                                <w:szCs w:val="24"/>
                              </w:rPr>
                            </w:pPr>
                            <w:r>
                              <w:rPr>
                                <w:rFonts w:hint="eastAsia" w:ascii="仿宋_GB2312" w:hAnsi="宋体" w:eastAsia="仿宋_GB2312" w:cs="宋体"/>
                                <w:szCs w:val="24"/>
                              </w:rPr>
                              <w:t xml:space="preserve">法人或授权代表：        </w:t>
                            </w:r>
                          </w:p>
                          <w:p w14:paraId="6DD09259">
                            <w:pPr>
                              <w:spacing w:line="360" w:lineRule="auto"/>
                              <w:ind w:firstLine="720" w:firstLineChars="300"/>
                              <w:rPr>
                                <w:rFonts w:hint="eastAsia" w:ascii="仿宋_GB2312" w:eastAsia="仿宋_GB2312"/>
                                <w:szCs w:val="24"/>
                              </w:rPr>
                            </w:pPr>
                            <w:r>
                              <w:rPr>
                                <w:rFonts w:hint="eastAsia" w:ascii="仿宋_GB2312" w:hAnsi="宋体" w:eastAsia="仿宋_GB2312" w:cs="宋体"/>
                                <w:szCs w:val="24"/>
                              </w:rPr>
                              <w:t>年   月    日</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top:6.15pt;height:109.65pt;width:241.5pt;mso-position-horizontal:left;mso-position-horizontal-relative:margin;z-index:251660288;mso-width-relative:page;mso-height-relative:page;" fillcolor="#FFFFFF" filled="t" stroked="f" coordsize="21600,21600" o:gfxdata="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F7XjW&#10;AAAABwEAAA8AAAAAAAAAAQAgAAAAIgAAAGRycy9kb3ducmV2LnhtbFBLAQIUABQAAAAIAIdO4kCQ&#10;e+x1WwIAALkEAAAOAAAAAAAAAAEAIAAAACUBAABkcnMvZTJvRG9jLnhtbFBLBQYAAAAABgAGAFkB&#10;AADyBQAAAAA=&#10;">
                <v:fill type="gradient" on="t" color2="#FFFFFF" angle="90" focus="100%" focussize="0,0">
                  <o:fill type="gradientUnscaled" v:ext="backwardCompatible"/>
                </v:fill>
                <v:stroke on="f"/>
                <v:imagedata o:title=""/>
                <o:lock v:ext="edit" aspectratio="f"/>
                <v:textbox>
                  <w:txbxContent>
                    <w:p w14:paraId="7E1003B3">
                      <w:pPr>
                        <w:spacing w:line="360" w:lineRule="auto"/>
                        <w:ind w:firstLine="480"/>
                        <w:rPr>
                          <w:rFonts w:hint="eastAsia" w:ascii="仿宋_GB2312" w:hAnsi="宋体" w:eastAsia="仿宋_GB2312" w:cs="宋体"/>
                          <w:szCs w:val="24"/>
                        </w:rPr>
                      </w:pPr>
                      <w:r>
                        <w:rPr>
                          <w:rFonts w:hint="eastAsia" w:ascii="仿宋_GB2312" w:hAnsi="宋体" w:eastAsia="仿宋_GB2312" w:cs="宋体"/>
                          <w:szCs w:val="24"/>
                        </w:rPr>
                        <w:t>甲方：深圳书城龙华城实业有限公司</w:t>
                      </w:r>
                    </w:p>
                    <w:p w14:paraId="476AF89E">
                      <w:pPr>
                        <w:spacing w:line="360" w:lineRule="auto"/>
                        <w:ind w:firstLine="480"/>
                        <w:rPr>
                          <w:rFonts w:hint="eastAsia" w:ascii="仿宋_GB2312" w:hAnsi="宋体" w:eastAsia="仿宋_GB2312" w:cs="宋体"/>
                          <w:szCs w:val="24"/>
                        </w:rPr>
                      </w:pPr>
                      <w:r>
                        <w:rPr>
                          <w:rFonts w:hint="eastAsia" w:ascii="仿宋_GB2312" w:hAnsi="宋体" w:eastAsia="仿宋_GB2312" w:cs="宋体"/>
                          <w:szCs w:val="24"/>
                        </w:rPr>
                        <w:t xml:space="preserve">法人或授权代表：        </w:t>
                      </w:r>
                    </w:p>
                    <w:p w14:paraId="6DD09259">
                      <w:pPr>
                        <w:spacing w:line="360" w:lineRule="auto"/>
                        <w:ind w:firstLine="720" w:firstLineChars="300"/>
                        <w:rPr>
                          <w:rFonts w:hint="eastAsia" w:ascii="仿宋_GB2312" w:eastAsia="仿宋_GB2312"/>
                          <w:szCs w:val="24"/>
                        </w:rPr>
                      </w:pPr>
                      <w:r>
                        <w:rPr>
                          <w:rFonts w:hint="eastAsia" w:ascii="仿宋_GB2312" w:hAnsi="宋体" w:eastAsia="仿宋_GB2312" w:cs="宋体"/>
                          <w:szCs w:val="24"/>
                        </w:rPr>
                        <w:t>年   月    日</w:t>
                      </w:r>
                    </w:p>
                  </w:txbxContent>
                </v:textbox>
              </v:shape>
            </w:pict>
          </mc:Fallback>
        </mc:AlternateContent>
      </w:r>
    </w:p>
    <w:p w14:paraId="4E977276">
      <w:pPr>
        <w:spacing w:line="360" w:lineRule="auto"/>
        <w:ind w:firstLine="960" w:firstLineChars="400"/>
        <w:rPr>
          <w:rFonts w:hint="eastAsia" w:ascii="宋体" w:hAnsi="宋体" w:cs="宋体"/>
          <w:szCs w:val="24"/>
        </w:rPr>
      </w:pPr>
    </w:p>
    <w:p w14:paraId="230EEEAA">
      <w:pPr>
        <w:spacing w:line="360" w:lineRule="auto"/>
        <w:ind w:firstLine="480"/>
        <w:rPr>
          <w:rFonts w:hint="eastAsia" w:ascii="宋体" w:hAnsi="宋体" w:cs="宋体"/>
          <w:szCs w:val="24"/>
        </w:rPr>
      </w:pPr>
      <w:r>
        <w:rPr>
          <w:rFonts w:hint="eastAsia" w:ascii="宋体" w:hAnsi="宋体" w:cs="宋体"/>
          <w:szCs w:val="24"/>
        </w:rPr>
        <w:t>附件1</w:t>
      </w:r>
    </w:p>
    <w:p w14:paraId="0EE6A26A">
      <w:pPr>
        <w:spacing w:line="360" w:lineRule="auto"/>
        <w:ind w:firstLine="480"/>
        <w:rPr>
          <w:rFonts w:hint="eastAsia" w:ascii="宋体" w:hAnsi="宋体" w:cs="宋体"/>
          <w:szCs w:val="24"/>
        </w:rPr>
      </w:pPr>
      <w:r>
        <w:rPr>
          <w:rFonts w:hint="eastAsia" w:ascii="宋体" w:hAnsi="宋体" w:cs="宋体"/>
          <w:szCs w:val="24"/>
        </w:rPr>
        <w:t>附件1：</w:t>
      </w:r>
    </w:p>
    <w:bookmarkEnd w:id="12"/>
    <w:p w14:paraId="72E3759F">
      <w:pPr>
        <w:ind w:firstLine="480"/>
        <w:rPr>
          <w:rFonts w:hint="eastAsia"/>
        </w:rPr>
      </w:pPr>
    </w:p>
    <w:p w14:paraId="07C63A2A">
      <w:pPr>
        <w:ind w:firstLine="480"/>
        <w:rPr>
          <w:rFonts w:hint="eastAsia"/>
        </w:rPr>
      </w:pPr>
    </w:p>
    <w:p w14:paraId="1B244395">
      <w:pPr>
        <w:rPr>
          <w:rFonts w:hint="eastAsia"/>
        </w:rPr>
      </w:pPr>
      <w:r>
        <w:rPr>
          <w:rFonts w:hint="eastAsia"/>
        </w:rPr>
        <w:br w:type="page"/>
      </w:r>
    </w:p>
    <w:p w14:paraId="5941777B">
      <w:pPr>
        <w:pStyle w:val="2"/>
        <w:ind w:firstLine="720"/>
        <w:rPr>
          <w:rFonts w:hint="eastAsia"/>
          <w:kern w:val="2"/>
          <w:sz w:val="24"/>
          <w:szCs w:val="22"/>
        </w:rPr>
      </w:pPr>
      <w:bookmarkStart w:id="13" w:name="_Toc161591786"/>
      <w:r>
        <w:rPr>
          <w:rFonts w:hint="eastAsia"/>
        </w:rPr>
        <w:t>第五章</w:t>
      </w:r>
      <w:r>
        <w:t xml:space="preserve"> </w:t>
      </w:r>
      <w:r>
        <w:rPr>
          <w:rFonts w:hint="eastAsia"/>
        </w:rPr>
        <w:t>附件</w:t>
      </w:r>
      <w:bookmarkEnd w:id="13"/>
    </w:p>
    <w:p w14:paraId="3F91870B">
      <w:pPr>
        <w:ind w:firstLine="480"/>
        <w:rPr>
          <w:rFonts w:hint="eastAsia"/>
        </w:rPr>
      </w:pPr>
    </w:p>
    <w:p w14:paraId="4CF69746">
      <w:pPr>
        <w:widowControl/>
        <w:spacing w:line="360" w:lineRule="auto"/>
        <w:ind w:firstLine="0" w:firstLineChars="0"/>
        <w:jc w:val="left"/>
        <w:rPr>
          <w:rFonts w:hint="eastAsia" w:ascii="仿宋_GB2312" w:hAnsi="宋体" w:eastAsia="仿宋_GB2312"/>
          <w:szCs w:val="24"/>
        </w:rPr>
      </w:pPr>
      <w:r>
        <w:rPr>
          <w:rFonts w:hint="eastAsia" w:ascii="仿宋_GB2312" w:hAnsi="宋体" w:eastAsia="仿宋_GB2312"/>
          <w:szCs w:val="24"/>
        </w:rPr>
        <w:t>附件1：</w:t>
      </w:r>
    </w:p>
    <w:p w14:paraId="2B162FF3">
      <w:pPr>
        <w:widowControl/>
        <w:spacing w:line="360" w:lineRule="auto"/>
        <w:ind w:firstLine="643"/>
        <w:jc w:val="center"/>
        <w:rPr>
          <w:rFonts w:hint="eastAsia" w:ascii="仿宋_GB2312" w:hAnsi="宋体" w:eastAsia="仿宋_GB2312"/>
          <w:b/>
          <w:bCs/>
          <w:sz w:val="32"/>
          <w:szCs w:val="32"/>
        </w:rPr>
      </w:pPr>
      <w:r>
        <w:rPr>
          <w:rFonts w:hint="eastAsia" w:ascii="仿宋_GB2312" w:hAnsi="宋体" w:eastAsia="仿宋_GB2312"/>
          <w:b/>
          <w:bCs/>
          <w:sz w:val="32"/>
          <w:szCs w:val="32"/>
        </w:rPr>
        <w:t>响应文件目录表</w:t>
      </w:r>
    </w:p>
    <w:p w14:paraId="0D3A36C0">
      <w:pPr>
        <w:widowControl/>
        <w:spacing w:line="360" w:lineRule="auto"/>
        <w:ind w:firstLine="482"/>
        <w:rPr>
          <w:rFonts w:hint="eastAsia" w:ascii="仿宋_GB2312" w:hAnsi="宋体" w:eastAsia="仿宋_GB2312"/>
          <w:b/>
          <w:bCs/>
          <w:szCs w:val="24"/>
        </w:rPr>
      </w:pPr>
    </w:p>
    <w:p w14:paraId="0D532371">
      <w:pPr>
        <w:widowControl/>
        <w:spacing w:line="360" w:lineRule="auto"/>
        <w:ind w:firstLine="482"/>
        <w:rPr>
          <w:rFonts w:hint="eastAsia" w:ascii="仿宋_GB2312" w:hAnsi="宋体" w:eastAsia="仿宋_GB2312"/>
          <w:b/>
          <w:bCs/>
          <w:szCs w:val="24"/>
        </w:rPr>
      </w:pPr>
      <w:r>
        <w:rPr>
          <w:rFonts w:hint="eastAsia" w:ascii="仿宋_GB2312" w:hAnsi="宋体" w:eastAsia="仿宋_GB2312"/>
          <w:b/>
          <w:bCs/>
          <w:szCs w:val="24"/>
        </w:rPr>
        <w:t>项目名称：2026年9月10日-202</w:t>
      </w:r>
      <w:r>
        <w:rPr>
          <w:rFonts w:hint="eastAsia" w:ascii="仿宋_GB2312" w:hAnsi="宋体" w:eastAsia="仿宋_GB2312"/>
          <w:b/>
          <w:bCs/>
          <w:szCs w:val="24"/>
          <w:lang w:val="en-US" w:eastAsia="zh-CN"/>
        </w:rPr>
        <w:t>8</w:t>
      </w:r>
      <w:r>
        <w:rPr>
          <w:rFonts w:hint="eastAsia" w:ascii="仿宋_GB2312" w:hAnsi="宋体" w:eastAsia="仿宋_GB2312"/>
          <w:b/>
          <w:bCs/>
          <w:szCs w:val="24"/>
        </w:rPr>
        <w:t>年9月9日智能车库维保服务</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160"/>
        <w:gridCol w:w="2074"/>
        <w:gridCol w:w="2074"/>
      </w:tblGrid>
      <w:tr w14:paraId="54DF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98368A9">
            <w:pPr>
              <w:widowControl/>
              <w:spacing w:line="360" w:lineRule="auto"/>
              <w:ind w:firstLine="480"/>
              <w:jc w:val="center"/>
              <w:rPr>
                <w:rFonts w:hint="eastAsia" w:ascii="仿宋_GB2312" w:hAnsi="宋体" w:eastAsia="仿宋_GB2312"/>
                <w:kern w:val="0"/>
                <w:szCs w:val="24"/>
              </w:rPr>
            </w:pPr>
            <w:r>
              <w:rPr>
                <w:rFonts w:hint="eastAsia" w:ascii="仿宋_GB2312" w:hAnsi="宋体" w:eastAsia="仿宋_GB2312"/>
                <w:kern w:val="0"/>
                <w:szCs w:val="24"/>
              </w:rPr>
              <w:t>序号</w:t>
            </w:r>
          </w:p>
        </w:tc>
        <w:tc>
          <w:tcPr>
            <w:tcW w:w="3160" w:type="dxa"/>
          </w:tcPr>
          <w:p w14:paraId="51530797">
            <w:pPr>
              <w:widowControl/>
              <w:spacing w:line="360" w:lineRule="auto"/>
              <w:ind w:firstLine="480"/>
              <w:jc w:val="center"/>
              <w:rPr>
                <w:rFonts w:hint="eastAsia" w:ascii="仿宋_GB2312" w:hAnsi="宋体" w:eastAsia="仿宋_GB2312"/>
                <w:kern w:val="0"/>
                <w:szCs w:val="24"/>
              </w:rPr>
            </w:pPr>
            <w:r>
              <w:rPr>
                <w:rFonts w:hint="eastAsia" w:ascii="仿宋_GB2312" w:hAnsi="宋体" w:eastAsia="仿宋_GB2312"/>
                <w:kern w:val="0"/>
                <w:szCs w:val="24"/>
              </w:rPr>
              <w:t>资料名称</w:t>
            </w:r>
          </w:p>
        </w:tc>
        <w:tc>
          <w:tcPr>
            <w:tcW w:w="2074" w:type="dxa"/>
          </w:tcPr>
          <w:p w14:paraId="795710C8">
            <w:pPr>
              <w:widowControl/>
              <w:spacing w:line="360" w:lineRule="auto"/>
              <w:ind w:firstLine="480"/>
              <w:jc w:val="center"/>
              <w:rPr>
                <w:rFonts w:hint="eastAsia" w:ascii="仿宋_GB2312" w:hAnsi="宋体" w:eastAsia="仿宋_GB2312"/>
                <w:kern w:val="0"/>
                <w:szCs w:val="24"/>
              </w:rPr>
            </w:pPr>
            <w:r>
              <w:rPr>
                <w:rFonts w:hint="eastAsia" w:ascii="仿宋_GB2312" w:hAnsi="宋体" w:eastAsia="仿宋_GB2312"/>
                <w:kern w:val="0"/>
                <w:szCs w:val="24"/>
              </w:rPr>
              <w:t>页码</w:t>
            </w:r>
          </w:p>
        </w:tc>
        <w:tc>
          <w:tcPr>
            <w:tcW w:w="2074" w:type="dxa"/>
          </w:tcPr>
          <w:p w14:paraId="1C2BBC33">
            <w:pPr>
              <w:widowControl/>
              <w:spacing w:line="360" w:lineRule="auto"/>
              <w:ind w:firstLine="480"/>
              <w:jc w:val="center"/>
              <w:rPr>
                <w:rFonts w:hint="eastAsia" w:ascii="仿宋_GB2312" w:hAnsi="宋体" w:eastAsia="仿宋_GB2312"/>
                <w:kern w:val="0"/>
                <w:szCs w:val="24"/>
              </w:rPr>
            </w:pPr>
            <w:r>
              <w:rPr>
                <w:rFonts w:hint="eastAsia" w:ascii="仿宋_GB2312" w:hAnsi="宋体" w:eastAsia="仿宋_GB2312"/>
                <w:kern w:val="0"/>
                <w:szCs w:val="24"/>
              </w:rPr>
              <w:t>备注</w:t>
            </w:r>
          </w:p>
        </w:tc>
      </w:tr>
      <w:tr w14:paraId="79B2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2D85D4">
            <w:pPr>
              <w:widowControl/>
              <w:spacing w:line="360" w:lineRule="auto"/>
              <w:ind w:firstLine="480"/>
              <w:jc w:val="center"/>
              <w:rPr>
                <w:rFonts w:hint="eastAsia" w:ascii="仿宋_GB2312" w:hAnsi="宋体" w:eastAsia="仿宋_GB2312"/>
                <w:kern w:val="0"/>
                <w:szCs w:val="24"/>
              </w:rPr>
            </w:pPr>
          </w:p>
        </w:tc>
        <w:tc>
          <w:tcPr>
            <w:tcW w:w="3160" w:type="dxa"/>
          </w:tcPr>
          <w:p w14:paraId="2473E96A">
            <w:pPr>
              <w:widowControl/>
              <w:spacing w:line="360" w:lineRule="auto"/>
              <w:ind w:firstLine="480"/>
              <w:jc w:val="left"/>
              <w:rPr>
                <w:rFonts w:hint="eastAsia" w:ascii="仿宋_GB2312" w:hAnsi="宋体" w:eastAsia="仿宋_GB2312"/>
                <w:kern w:val="0"/>
                <w:szCs w:val="24"/>
              </w:rPr>
            </w:pPr>
          </w:p>
        </w:tc>
        <w:tc>
          <w:tcPr>
            <w:tcW w:w="2074" w:type="dxa"/>
          </w:tcPr>
          <w:p w14:paraId="0DCE415B">
            <w:pPr>
              <w:widowControl/>
              <w:spacing w:line="360" w:lineRule="auto"/>
              <w:ind w:firstLine="480"/>
              <w:jc w:val="left"/>
              <w:rPr>
                <w:rFonts w:hint="eastAsia" w:ascii="仿宋_GB2312" w:hAnsi="宋体" w:eastAsia="仿宋_GB2312"/>
                <w:kern w:val="0"/>
                <w:szCs w:val="24"/>
              </w:rPr>
            </w:pPr>
          </w:p>
        </w:tc>
        <w:tc>
          <w:tcPr>
            <w:tcW w:w="2074" w:type="dxa"/>
          </w:tcPr>
          <w:p w14:paraId="3CADFC3A">
            <w:pPr>
              <w:widowControl/>
              <w:spacing w:line="360" w:lineRule="auto"/>
              <w:ind w:firstLine="480"/>
              <w:jc w:val="left"/>
              <w:rPr>
                <w:rFonts w:hint="eastAsia" w:ascii="仿宋_GB2312" w:hAnsi="宋体" w:eastAsia="仿宋_GB2312"/>
                <w:kern w:val="0"/>
                <w:szCs w:val="24"/>
              </w:rPr>
            </w:pPr>
          </w:p>
        </w:tc>
      </w:tr>
      <w:tr w14:paraId="698F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F53E3C2">
            <w:pPr>
              <w:widowControl/>
              <w:spacing w:line="360" w:lineRule="auto"/>
              <w:ind w:firstLine="480"/>
              <w:jc w:val="center"/>
              <w:rPr>
                <w:rFonts w:hint="eastAsia" w:ascii="仿宋_GB2312" w:hAnsi="宋体" w:eastAsia="仿宋_GB2312"/>
                <w:kern w:val="0"/>
                <w:szCs w:val="24"/>
              </w:rPr>
            </w:pPr>
          </w:p>
        </w:tc>
        <w:tc>
          <w:tcPr>
            <w:tcW w:w="3160" w:type="dxa"/>
          </w:tcPr>
          <w:p w14:paraId="10555CE0">
            <w:pPr>
              <w:widowControl/>
              <w:spacing w:line="360" w:lineRule="auto"/>
              <w:ind w:firstLine="480"/>
              <w:jc w:val="left"/>
              <w:rPr>
                <w:rFonts w:hint="eastAsia" w:ascii="仿宋_GB2312" w:hAnsi="宋体" w:eastAsia="仿宋_GB2312"/>
                <w:kern w:val="0"/>
                <w:szCs w:val="24"/>
              </w:rPr>
            </w:pPr>
          </w:p>
        </w:tc>
        <w:tc>
          <w:tcPr>
            <w:tcW w:w="2074" w:type="dxa"/>
          </w:tcPr>
          <w:p w14:paraId="35D8B738">
            <w:pPr>
              <w:widowControl/>
              <w:spacing w:line="360" w:lineRule="auto"/>
              <w:ind w:firstLine="480"/>
              <w:jc w:val="left"/>
              <w:rPr>
                <w:rFonts w:hint="eastAsia" w:ascii="仿宋_GB2312" w:hAnsi="宋体" w:eastAsia="仿宋_GB2312"/>
                <w:kern w:val="0"/>
                <w:szCs w:val="24"/>
              </w:rPr>
            </w:pPr>
          </w:p>
        </w:tc>
        <w:tc>
          <w:tcPr>
            <w:tcW w:w="2074" w:type="dxa"/>
          </w:tcPr>
          <w:p w14:paraId="55F9C1E0">
            <w:pPr>
              <w:widowControl/>
              <w:spacing w:line="360" w:lineRule="auto"/>
              <w:ind w:firstLine="480"/>
              <w:jc w:val="left"/>
              <w:rPr>
                <w:rFonts w:hint="eastAsia" w:ascii="仿宋_GB2312" w:hAnsi="宋体" w:eastAsia="仿宋_GB2312"/>
                <w:kern w:val="0"/>
                <w:szCs w:val="24"/>
              </w:rPr>
            </w:pPr>
          </w:p>
        </w:tc>
      </w:tr>
      <w:tr w14:paraId="6681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197A118">
            <w:pPr>
              <w:widowControl/>
              <w:spacing w:line="360" w:lineRule="auto"/>
              <w:ind w:firstLine="480"/>
              <w:jc w:val="center"/>
              <w:rPr>
                <w:rFonts w:hint="eastAsia" w:ascii="仿宋_GB2312" w:hAnsi="宋体" w:eastAsia="仿宋_GB2312"/>
                <w:kern w:val="0"/>
                <w:szCs w:val="24"/>
              </w:rPr>
            </w:pPr>
          </w:p>
        </w:tc>
        <w:tc>
          <w:tcPr>
            <w:tcW w:w="3160" w:type="dxa"/>
          </w:tcPr>
          <w:p w14:paraId="710BE909">
            <w:pPr>
              <w:widowControl/>
              <w:spacing w:line="360" w:lineRule="auto"/>
              <w:ind w:firstLine="480"/>
              <w:jc w:val="left"/>
              <w:rPr>
                <w:rFonts w:hint="eastAsia" w:ascii="仿宋_GB2312" w:hAnsi="宋体" w:eastAsia="仿宋_GB2312"/>
                <w:kern w:val="0"/>
                <w:szCs w:val="24"/>
              </w:rPr>
            </w:pPr>
          </w:p>
        </w:tc>
        <w:tc>
          <w:tcPr>
            <w:tcW w:w="2074" w:type="dxa"/>
          </w:tcPr>
          <w:p w14:paraId="70F7FDDF">
            <w:pPr>
              <w:widowControl/>
              <w:spacing w:line="360" w:lineRule="auto"/>
              <w:ind w:firstLine="480"/>
              <w:jc w:val="left"/>
              <w:rPr>
                <w:rFonts w:hint="eastAsia" w:ascii="仿宋_GB2312" w:hAnsi="宋体" w:eastAsia="仿宋_GB2312"/>
                <w:kern w:val="0"/>
                <w:szCs w:val="24"/>
              </w:rPr>
            </w:pPr>
          </w:p>
        </w:tc>
        <w:tc>
          <w:tcPr>
            <w:tcW w:w="2074" w:type="dxa"/>
          </w:tcPr>
          <w:p w14:paraId="74D33ABC">
            <w:pPr>
              <w:widowControl/>
              <w:spacing w:line="360" w:lineRule="auto"/>
              <w:ind w:firstLine="480"/>
              <w:jc w:val="left"/>
              <w:rPr>
                <w:rFonts w:hint="eastAsia" w:ascii="仿宋_GB2312" w:hAnsi="宋体" w:eastAsia="仿宋_GB2312"/>
                <w:kern w:val="0"/>
                <w:szCs w:val="24"/>
              </w:rPr>
            </w:pPr>
          </w:p>
        </w:tc>
      </w:tr>
      <w:tr w14:paraId="34E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775842E">
            <w:pPr>
              <w:widowControl/>
              <w:spacing w:line="360" w:lineRule="auto"/>
              <w:ind w:firstLine="480"/>
              <w:jc w:val="center"/>
              <w:rPr>
                <w:rFonts w:hint="eastAsia" w:ascii="仿宋_GB2312" w:hAnsi="宋体" w:eastAsia="仿宋_GB2312"/>
                <w:kern w:val="0"/>
                <w:szCs w:val="24"/>
              </w:rPr>
            </w:pPr>
          </w:p>
        </w:tc>
        <w:tc>
          <w:tcPr>
            <w:tcW w:w="3160" w:type="dxa"/>
          </w:tcPr>
          <w:p w14:paraId="425C9D7F">
            <w:pPr>
              <w:widowControl/>
              <w:spacing w:line="360" w:lineRule="auto"/>
              <w:ind w:firstLine="480"/>
              <w:jc w:val="left"/>
              <w:rPr>
                <w:rFonts w:hint="eastAsia" w:ascii="仿宋_GB2312" w:hAnsi="宋体" w:eastAsia="仿宋_GB2312"/>
                <w:kern w:val="0"/>
                <w:szCs w:val="24"/>
              </w:rPr>
            </w:pPr>
          </w:p>
        </w:tc>
        <w:tc>
          <w:tcPr>
            <w:tcW w:w="2074" w:type="dxa"/>
          </w:tcPr>
          <w:p w14:paraId="7612E13B">
            <w:pPr>
              <w:widowControl/>
              <w:spacing w:line="360" w:lineRule="auto"/>
              <w:ind w:firstLine="480"/>
              <w:jc w:val="left"/>
              <w:rPr>
                <w:rFonts w:hint="eastAsia" w:ascii="仿宋_GB2312" w:hAnsi="宋体" w:eastAsia="仿宋_GB2312"/>
                <w:kern w:val="0"/>
                <w:szCs w:val="24"/>
              </w:rPr>
            </w:pPr>
          </w:p>
        </w:tc>
        <w:tc>
          <w:tcPr>
            <w:tcW w:w="2074" w:type="dxa"/>
          </w:tcPr>
          <w:p w14:paraId="4D579B4E">
            <w:pPr>
              <w:widowControl/>
              <w:spacing w:line="360" w:lineRule="auto"/>
              <w:ind w:firstLine="480"/>
              <w:jc w:val="left"/>
              <w:rPr>
                <w:rFonts w:hint="eastAsia" w:ascii="仿宋_GB2312" w:hAnsi="宋体" w:eastAsia="仿宋_GB2312"/>
                <w:kern w:val="0"/>
                <w:szCs w:val="24"/>
              </w:rPr>
            </w:pPr>
          </w:p>
        </w:tc>
      </w:tr>
      <w:tr w14:paraId="490A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6C6820">
            <w:pPr>
              <w:widowControl/>
              <w:spacing w:line="360" w:lineRule="auto"/>
              <w:ind w:firstLine="480"/>
              <w:jc w:val="center"/>
              <w:rPr>
                <w:rFonts w:hint="eastAsia" w:ascii="仿宋_GB2312" w:hAnsi="宋体" w:eastAsia="仿宋_GB2312"/>
                <w:kern w:val="0"/>
                <w:szCs w:val="24"/>
              </w:rPr>
            </w:pPr>
          </w:p>
        </w:tc>
        <w:tc>
          <w:tcPr>
            <w:tcW w:w="3160" w:type="dxa"/>
          </w:tcPr>
          <w:p w14:paraId="10E35CD5">
            <w:pPr>
              <w:widowControl/>
              <w:spacing w:line="360" w:lineRule="auto"/>
              <w:ind w:firstLine="480"/>
              <w:jc w:val="left"/>
              <w:rPr>
                <w:rFonts w:hint="eastAsia" w:ascii="仿宋_GB2312" w:hAnsi="宋体" w:eastAsia="仿宋_GB2312"/>
                <w:kern w:val="0"/>
                <w:szCs w:val="24"/>
              </w:rPr>
            </w:pPr>
          </w:p>
        </w:tc>
        <w:tc>
          <w:tcPr>
            <w:tcW w:w="2074" w:type="dxa"/>
          </w:tcPr>
          <w:p w14:paraId="7D6D1C9C">
            <w:pPr>
              <w:widowControl/>
              <w:spacing w:line="360" w:lineRule="auto"/>
              <w:ind w:firstLine="480"/>
              <w:jc w:val="left"/>
              <w:rPr>
                <w:rFonts w:hint="eastAsia" w:ascii="仿宋_GB2312" w:hAnsi="宋体" w:eastAsia="仿宋_GB2312"/>
                <w:kern w:val="0"/>
                <w:szCs w:val="24"/>
              </w:rPr>
            </w:pPr>
          </w:p>
        </w:tc>
        <w:tc>
          <w:tcPr>
            <w:tcW w:w="2074" w:type="dxa"/>
          </w:tcPr>
          <w:p w14:paraId="5DEF8694">
            <w:pPr>
              <w:widowControl/>
              <w:spacing w:line="360" w:lineRule="auto"/>
              <w:ind w:firstLine="480"/>
              <w:jc w:val="left"/>
              <w:rPr>
                <w:rFonts w:hint="eastAsia" w:ascii="仿宋_GB2312" w:hAnsi="宋体" w:eastAsia="仿宋_GB2312"/>
                <w:kern w:val="0"/>
                <w:szCs w:val="24"/>
              </w:rPr>
            </w:pPr>
          </w:p>
        </w:tc>
      </w:tr>
    </w:tbl>
    <w:p w14:paraId="3DF3A9CE">
      <w:pPr>
        <w:widowControl/>
        <w:spacing w:line="360" w:lineRule="auto"/>
        <w:ind w:firstLine="480"/>
        <w:jc w:val="left"/>
        <w:rPr>
          <w:rFonts w:hint="eastAsia" w:ascii="仿宋_GB2312" w:hAnsi="宋体" w:eastAsia="仿宋_GB2312"/>
          <w:szCs w:val="24"/>
        </w:rPr>
      </w:pPr>
    </w:p>
    <w:p w14:paraId="47C614D5">
      <w:pPr>
        <w:widowControl/>
        <w:spacing w:line="360" w:lineRule="auto"/>
        <w:ind w:firstLine="480"/>
        <w:jc w:val="left"/>
        <w:rPr>
          <w:rFonts w:hint="eastAsia" w:ascii="仿宋_GB2312" w:hAnsi="宋体" w:eastAsia="仿宋_GB2312"/>
          <w:szCs w:val="24"/>
        </w:rPr>
      </w:pPr>
      <w:r>
        <w:rPr>
          <w:rFonts w:hint="eastAsia" w:ascii="仿宋_GB2312" w:hAnsi="宋体" w:eastAsia="仿宋_GB2312"/>
          <w:szCs w:val="24"/>
        </w:rPr>
        <w:t>注：请响应单位根据响应文件的编排情况仔细填写。</w:t>
      </w:r>
    </w:p>
    <w:p w14:paraId="151A16C8">
      <w:pPr>
        <w:widowControl/>
        <w:spacing w:line="360" w:lineRule="auto"/>
        <w:ind w:firstLine="480"/>
        <w:jc w:val="left"/>
        <w:rPr>
          <w:rFonts w:hint="eastAsia" w:ascii="仿宋_GB2312" w:hAnsi="宋体" w:eastAsia="仿宋_GB2312"/>
          <w:szCs w:val="24"/>
        </w:rPr>
      </w:pPr>
    </w:p>
    <w:p w14:paraId="24E8C39C">
      <w:pPr>
        <w:widowControl/>
        <w:spacing w:line="360" w:lineRule="auto"/>
        <w:ind w:firstLine="480"/>
        <w:jc w:val="left"/>
        <w:rPr>
          <w:rFonts w:hint="eastAsia" w:ascii="仿宋_GB2312" w:hAnsi="宋体" w:eastAsia="仿宋_GB2312"/>
          <w:szCs w:val="24"/>
        </w:rPr>
      </w:pPr>
    </w:p>
    <w:p w14:paraId="10A5000E">
      <w:pPr>
        <w:widowControl/>
        <w:spacing w:line="360" w:lineRule="auto"/>
        <w:ind w:firstLine="480"/>
        <w:jc w:val="left"/>
        <w:rPr>
          <w:rFonts w:hint="eastAsia" w:ascii="仿宋_GB2312" w:hAnsi="宋体" w:eastAsia="仿宋_GB2312"/>
          <w:szCs w:val="24"/>
        </w:rPr>
      </w:pPr>
    </w:p>
    <w:p w14:paraId="0CC39353">
      <w:pPr>
        <w:rPr>
          <w:rFonts w:hint="eastAsia" w:ascii="仿宋_GB2312" w:hAnsi="宋体" w:eastAsia="仿宋_GB2312"/>
          <w:szCs w:val="24"/>
        </w:rPr>
      </w:pPr>
      <w:r>
        <w:rPr>
          <w:rFonts w:hint="eastAsia" w:ascii="仿宋_GB2312" w:hAnsi="宋体" w:eastAsia="仿宋_GB2312"/>
          <w:szCs w:val="24"/>
        </w:rPr>
        <w:br w:type="page"/>
      </w:r>
    </w:p>
    <w:p w14:paraId="3D02D036">
      <w:pPr>
        <w:spacing w:line="360" w:lineRule="auto"/>
        <w:ind w:firstLine="0" w:firstLineChars="0"/>
        <w:rPr>
          <w:rFonts w:hint="eastAsia" w:ascii="仿宋_GB2312" w:hAnsi="宋体" w:eastAsia="仿宋_GB2312"/>
          <w:szCs w:val="24"/>
        </w:rPr>
      </w:pPr>
      <w:r>
        <w:rPr>
          <w:rFonts w:hint="eastAsia" w:ascii="仿宋_GB2312" w:hAnsi="宋体" w:eastAsia="仿宋_GB2312"/>
          <w:szCs w:val="24"/>
        </w:rPr>
        <w:t>附件2：</w:t>
      </w:r>
    </w:p>
    <w:p w14:paraId="2FFA813C">
      <w:pPr>
        <w:widowControl/>
        <w:spacing w:line="360" w:lineRule="auto"/>
        <w:ind w:firstLine="643"/>
        <w:jc w:val="center"/>
        <w:rPr>
          <w:rFonts w:hint="eastAsia" w:ascii="仿宋_GB2312" w:hAnsi="宋体" w:eastAsia="仿宋_GB2312"/>
          <w:b/>
          <w:bCs/>
          <w:sz w:val="32"/>
          <w:szCs w:val="32"/>
        </w:rPr>
      </w:pPr>
      <w:bookmarkStart w:id="14" w:name="_Hlk73367655"/>
      <w:r>
        <w:rPr>
          <w:rFonts w:hint="eastAsia" w:ascii="仿宋_GB2312" w:hAnsi="宋体" w:eastAsia="仿宋_GB2312"/>
          <w:b/>
          <w:bCs/>
          <w:sz w:val="32"/>
          <w:szCs w:val="32"/>
        </w:rPr>
        <w:t>响 应 函</w:t>
      </w:r>
    </w:p>
    <w:p w14:paraId="383C9791">
      <w:pPr>
        <w:spacing w:line="360" w:lineRule="auto"/>
        <w:ind w:firstLine="480"/>
        <w:jc w:val="center"/>
        <w:rPr>
          <w:rFonts w:hint="eastAsia" w:ascii="仿宋_GB2312" w:hAnsi="宋体" w:eastAsia="仿宋_GB2312"/>
        </w:rPr>
      </w:pPr>
    </w:p>
    <w:p w14:paraId="078F5512">
      <w:pPr>
        <w:spacing w:line="360" w:lineRule="auto"/>
        <w:ind w:firstLine="480"/>
        <w:rPr>
          <w:rFonts w:hint="eastAsia" w:ascii="仿宋_GB2312" w:hAnsi="宋体" w:eastAsia="仿宋_GB2312"/>
        </w:rPr>
      </w:pPr>
      <w:r>
        <w:rPr>
          <w:rFonts w:hint="eastAsia" w:ascii="仿宋_GB2312" w:hAnsi="宋体" w:eastAsia="仿宋_GB2312"/>
        </w:rPr>
        <w:t xml:space="preserve">致：深圳书城龙华城实业有限公司 </w:t>
      </w:r>
    </w:p>
    <w:p w14:paraId="20BF3A47">
      <w:pPr>
        <w:spacing w:line="360" w:lineRule="auto"/>
        <w:ind w:firstLine="480"/>
        <w:rPr>
          <w:rFonts w:hint="eastAsia" w:ascii="仿宋_GB2312" w:hAnsi="宋体" w:eastAsia="仿宋_GB2312"/>
          <w:u w:val="single"/>
        </w:rPr>
      </w:pPr>
      <w:r>
        <w:rPr>
          <w:rFonts w:hint="eastAsia" w:ascii="仿宋_GB2312" w:hAnsi="宋体" w:eastAsia="仿宋_GB2312"/>
        </w:rPr>
        <w:t>1.我方已仔细研究了</w:t>
      </w:r>
      <w:r>
        <w:rPr>
          <w:rFonts w:hint="eastAsia" w:ascii="仿宋_GB2312" w:hAnsi="宋体" w:eastAsia="仿宋_GB2312"/>
          <w:color w:val="000000" w:themeColor="text1"/>
          <w:szCs w:val="24"/>
          <w14:textFill>
            <w14:solidFill>
              <w14:schemeClr w14:val="tx1"/>
            </w14:solidFill>
          </w14:textFill>
        </w:rPr>
        <w:t>2026年9月10日-202</w:t>
      </w:r>
      <w:r>
        <w:rPr>
          <w:rFonts w:hint="eastAsia" w:ascii="仿宋_GB2312" w:hAnsi="宋体" w:eastAsia="仿宋_GB2312"/>
          <w:color w:val="000000" w:themeColor="text1"/>
          <w:szCs w:val="24"/>
          <w:lang w:val="en-US" w:eastAsia="zh-CN"/>
          <w14:textFill>
            <w14:solidFill>
              <w14:schemeClr w14:val="tx1"/>
            </w14:solidFill>
          </w14:textFill>
        </w:rPr>
        <w:t>8</w:t>
      </w:r>
      <w:r>
        <w:rPr>
          <w:rFonts w:hint="eastAsia" w:ascii="仿宋_GB2312" w:hAnsi="宋体" w:eastAsia="仿宋_GB2312"/>
          <w:color w:val="000000" w:themeColor="text1"/>
          <w:szCs w:val="24"/>
          <w14:textFill>
            <w14:solidFill>
              <w14:schemeClr w14:val="tx1"/>
            </w14:solidFill>
          </w14:textFill>
        </w:rPr>
        <w:t>年9月9日智能车库维保</w:t>
      </w:r>
      <w:r>
        <w:rPr>
          <w:rFonts w:hint="eastAsia" w:ascii="仿宋_GB2312" w:hAnsi="宋体" w:eastAsia="仿宋_GB2312"/>
        </w:rPr>
        <w:t>项目的采购文件的全部内容，愿意以响应文件中的报价提供本项目服务。并郑重声明：我公司具备履行本项采购合同所必需的设备和专业技术能力。</w:t>
      </w:r>
    </w:p>
    <w:p w14:paraId="632B8C1C">
      <w:pPr>
        <w:spacing w:line="360" w:lineRule="auto"/>
        <w:ind w:firstLine="480"/>
        <w:rPr>
          <w:rFonts w:hint="eastAsia" w:ascii="仿宋_GB2312" w:hAnsi="宋体" w:eastAsia="仿宋_GB2312"/>
        </w:rPr>
      </w:pPr>
      <w:r>
        <w:rPr>
          <w:rFonts w:hint="eastAsia" w:ascii="仿宋_GB2312" w:hAnsi="宋体" w:eastAsia="仿宋_GB2312"/>
        </w:rPr>
        <w:t>2.如我方成交，我方承诺：</w:t>
      </w:r>
    </w:p>
    <w:p w14:paraId="18AAF19B">
      <w:pPr>
        <w:spacing w:line="360" w:lineRule="auto"/>
        <w:ind w:firstLine="480"/>
        <w:rPr>
          <w:rFonts w:hint="eastAsia" w:ascii="仿宋_GB2312" w:hAnsi="宋体" w:eastAsia="仿宋_GB2312"/>
        </w:rPr>
      </w:pPr>
      <w:r>
        <w:rPr>
          <w:rFonts w:hint="eastAsia" w:ascii="仿宋_GB2312" w:hAnsi="宋体" w:eastAsia="仿宋_GB2312"/>
        </w:rPr>
        <w:t>（1）在收到成交通知书后，在成交通知书规定的期限内与你方签订合同。</w:t>
      </w:r>
    </w:p>
    <w:p w14:paraId="71037C35">
      <w:pPr>
        <w:spacing w:line="360" w:lineRule="auto"/>
        <w:ind w:firstLine="480"/>
        <w:rPr>
          <w:rFonts w:hint="eastAsia" w:ascii="仿宋_GB2312" w:hAnsi="宋体" w:eastAsia="仿宋_GB2312"/>
        </w:rPr>
      </w:pPr>
      <w:r>
        <w:rPr>
          <w:rFonts w:hint="eastAsia" w:ascii="仿宋_GB2312" w:hAnsi="宋体" w:eastAsia="仿宋_GB2312"/>
        </w:rPr>
        <w:t>（2）在签订合同时不向你方提出附加条件。</w:t>
      </w:r>
    </w:p>
    <w:p w14:paraId="2DC0E03C">
      <w:pPr>
        <w:spacing w:line="360" w:lineRule="auto"/>
        <w:ind w:firstLine="480"/>
        <w:rPr>
          <w:rFonts w:hint="eastAsia" w:ascii="仿宋_GB2312" w:hAnsi="宋体" w:eastAsia="仿宋_GB2312"/>
        </w:rPr>
      </w:pPr>
      <w:r>
        <w:rPr>
          <w:rFonts w:hint="eastAsia" w:ascii="仿宋_GB2312" w:hAnsi="宋体" w:eastAsia="仿宋_GB2312"/>
        </w:rPr>
        <w:t>（3）在合同约定的期限内完成合同约定的全部义务。</w:t>
      </w:r>
    </w:p>
    <w:p w14:paraId="5B6735B0">
      <w:pPr>
        <w:spacing w:line="360" w:lineRule="auto"/>
        <w:ind w:firstLine="480"/>
        <w:rPr>
          <w:rFonts w:hint="eastAsia" w:ascii="仿宋_GB2312" w:hAnsi="宋体" w:eastAsia="仿宋_GB2312"/>
        </w:rPr>
      </w:pPr>
      <w:r>
        <w:rPr>
          <w:rFonts w:hint="eastAsia" w:ascii="仿宋_GB2312" w:hAnsi="宋体" w:eastAsia="仿宋_GB2312"/>
        </w:rPr>
        <w:t>3.我方承诺，所递交的响应文件</w:t>
      </w:r>
      <w:bookmarkStart w:id="15" w:name="_Hlk73969062"/>
      <w:r>
        <w:rPr>
          <w:rFonts w:hint="eastAsia" w:ascii="仿宋_GB2312" w:hAnsi="宋体" w:eastAsia="仿宋_GB2312"/>
        </w:rPr>
        <w:t>及有关资料</w:t>
      </w:r>
      <w:bookmarkEnd w:id="15"/>
      <w:r>
        <w:rPr>
          <w:rFonts w:hint="eastAsia" w:ascii="仿宋_GB2312" w:hAnsi="宋体" w:eastAsia="仿宋_GB2312"/>
        </w:rPr>
        <w:t>的全部内容真实有效，并承担由于提供虚假材料而产生的一切后果。我方愿意提供采购人可能另外要求的、与采购有关的文件资料。</w:t>
      </w:r>
    </w:p>
    <w:p w14:paraId="21837D40">
      <w:pPr>
        <w:spacing w:line="360" w:lineRule="auto"/>
        <w:ind w:firstLine="480"/>
        <w:rPr>
          <w:rFonts w:hint="eastAsia" w:ascii="仿宋_GB2312" w:hAnsi="宋体" w:eastAsia="仿宋_GB2312"/>
        </w:rPr>
      </w:pPr>
      <w:r>
        <w:rPr>
          <w:rFonts w:hint="eastAsia" w:ascii="仿宋_GB2312" w:hAnsi="宋体" w:eastAsia="仿宋_GB2312"/>
        </w:rPr>
        <w:t>4.我方承诺，我方提交的响应文件及有关资料所涉及的知识产权无偿地许可采购人在本项目中借鉴及使用。</w:t>
      </w:r>
    </w:p>
    <w:p w14:paraId="4C68D1B2">
      <w:pPr>
        <w:spacing w:line="360" w:lineRule="auto"/>
        <w:ind w:firstLine="480"/>
        <w:rPr>
          <w:rFonts w:hint="eastAsia" w:ascii="仿宋_GB2312" w:hAnsi="宋体" w:eastAsia="仿宋_GB2312"/>
        </w:rPr>
      </w:pPr>
    </w:p>
    <w:p w14:paraId="6C418482">
      <w:pPr>
        <w:spacing w:line="360" w:lineRule="auto"/>
        <w:ind w:firstLine="480"/>
        <w:rPr>
          <w:rFonts w:hint="eastAsia" w:ascii="仿宋_GB2312" w:hAnsi="宋体" w:eastAsia="仿宋_GB2312"/>
        </w:rPr>
      </w:pPr>
    </w:p>
    <w:p w14:paraId="2885702E">
      <w:pPr>
        <w:spacing w:line="360" w:lineRule="auto"/>
        <w:ind w:firstLine="480"/>
        <w:rPr>
          <w:rFonts w:hint="eastAsia" w:ascii="仿宋_GB2312" w:hAnsi="宋体" w:eastAsia="仿宋_GB2312"/>
          <w:u w:val="single"/>
        </w:rPr>
      </w:pPr>
    </w:p>
    <w:p w14:paraId="222D5F6B">
      <w:pPr>
        <w:spacing w:line="360" w:lineRule="auto"/>
        <w:ind w:firstLine="480"/>
        <w:jc w:val="center"/>
        <w:rPr>
          <w:rFonts w:hint="eastAsia" w:ascii="仿宋_GB2312" w:hAnsi="宋体" w:eastAsia="仿宋_GB2312"/>
          <w:szCs w:val="24"/>
          <w:u w:val="single"/>
        </w:rPr>
      </w:pPr>
      <w:bookmarkStart w:id="16" w:name="_Hlk65507736"/>
      <w:r>
        <w:rPr>
          <w:rFonts w:hint="eastAsia" w:ascii="仿宋_GB2312" w:hAnsi="宋体" w:eastAsia="仿宋_GB2312"/>
          <w:color w:val="000000" w:themeColor="text1"/>
          <w:szCs w:val="24"/>
          <w14:textFill>
            <w14:solidFill>
              <w14:schemeClr w14:val="tx1"/>
            </w14:solidFill>
          </w14:textFill>
        </w:rPr>
        <w:t xml:space="preserve"> 响 应 单 位</w:t>
      </w:r>
      <w:r>
        <w:rPr>
          <w:rFonts w:hint="eastAsia" w:ascii="仿宋_GB2312" w:hAnsi="宋体" w:eastAsia="仿宋_GB2312"/>
          <w:szCs w:val="24"/>
        </w:rPr>
        <w:t>(公章)：</w:t>
      </w:r>
      <w:r>
        <w:rPr>
          <w:rFonts w:hint="eastAsia" w:ascii="仿宋_GB2312" w:hAnsi="宋体" w:eastAsia="仿宋_GB2312"/>
          <w:szCs w:val="24"/>
          <w:u w:val="single"/>
        </w:rPr>
        <w:t xml:space="preserve">                                   </w:t>
      </w:r>
    </w:p>
    <w:p w14:paraId="41B24305">
      <w:pPr>
        <w:spacing w:line="360" w:lineRule="auto"/>
        <w:ind w:firstLine="480"/>
        <w:jc w:val="center"/>
        <w:rPr>
          <w:rFonts w:hint="eastAsia" w:ascii="仿宋_GB2312" w:hAnsi="宋体" w:eastAsia="仿宋_GB2312"/>
          <w:szCs w:val="24"/>
        </w:rPr>
      </w:pPr>
    </w:p>
    <w:p w14:paraId="6EC1E4AA">
      <w:pPr>
        <w:spacing w:line="360" w:lineRule="auto"/>
        <w:ind w:firstLine="480"/>
        <w:jc w:val="center"/>
        <w:rPr>
          <w:rFonts w:hint="eastAsia" w:ascii="仿宋_GB2312" w:hAnsi="宋体" w:eastAsia="仿宋_GB2312"/>
          <w:szCs w:val="24"/>
        </w:rPr>
      </w:pPr>
      <w:r>
        <w:rPr>
          <w:rFonts w:hint="eastAsia" w:ascii="仿宋_GB2312" w:hAnsi="宋体" w:eastAsia="仿宋_GB2312"/>
          <w:szCs w:val="24"/>
        </w:rPr>
        <w:t>法定代表人(签名)：</w:t>
      </w:r>
      <w:r>
        <w:rPr>
          <w:rFonts w:hint="eastAsia" w:ascii="仿宋_GB2312" w:hAnsi="宋体" w:eastAsia="仿宋_GB2312"/>
          <w:szCs w:val="24"/>
          <w:u w:val="single"/>
        </w:rPr>
        <w:t xml:space="preserve">                                     </w:t>
      </w:r>
    </w:p>
    <w:p w14:paraId="1F6E4366">
      <w:pPr>
        <w:spacing w:line="360" w:lineRule="auto"/>
        <w:ind w:firstLine="480"/>
        <w:jc w:val="center"/>
        <w:rPr>
          <w:rFonts w:hint="eastAsia" w:ascii="仿宋_GB2312" w:hAnsi="宋体" w:eastAsia="仿宋_GB2312"/>
          <w:szCs w:val="24"/>
        </w:rPr>
      </w:pPr>
    </w:p>
    <w:p w14:paraId="641C5A6C">
      <w:pPr>
        <w:spacing w:line="360" w:lineRule="auto"/>
        <w:ind w:firstLine="480"/>
        <w:jc w:val="center"/>
        <w:rPr>
          <w:rFonts w:hint="eastAsia" w:ascii="仿宋_GB2312" w:hAnsi="宋体" w:eastAsia="仿宋_GB2312" w:cs="Times New Roman"/>
          <w:kern w:val="0"/>
          <w:szCs w:val="24"/>
        </w:rPr>
      </w:pPr>
      <w:r>
        <w:rPr>
          <w:rFonts w:hint="eastAsia" w:ascii="仿宋_GB2312" w:hAnsi="宋体" w:eastAsia="仿宋_GB2312"/>
          <w:szCs w:val="24"/>
        </w:rPr>
        <w:t>日           期：</w:t>
      </w:r>
      <w:r>
        <w:rPr>
          <w:rFonts w:hint="eastAsia" w:ascii="仿宋_GB2312" w:hAnsi="宋体" w:eastAsia="仿宋_GB2312"/>
          <w:szCs w:val="24"/>
          <w:u w:val="single"/>
        </w:rPr>
        <w:t xml:space="preserve">                              </w:t>
      </w:r>
    </w:p>
    <w:bookmarkEnd w:id="14"/>
    <w:p w14:paraId="2EC5CE2E">
      <w:pPr>
        <w:spacing w:line="360" w:lineRule="auto"/>
        <w:ind w:firstLine="480"/>
        <w:jc w:val="center"/>
        <w:rPr>
          <w:rFonts w:hint="eastAsia" w:ascii="宋体" w:hAnsi="宋体" w:cs="Times New Roman"/>
          <w:kern w:val="0"/>
          <w:szCs w:val="24"/>
        </w:rPr>
      </w:pPr>
    </w:p>
    <w:p w14:paraId="75839898">
      <w:pPr>
        <w:spacing w:line="360" w:lineRule="auto"/>
        <w:ind w:firstLine="480"/>
        <w:rPr>
          <w:rFonts w:hint="eastAsia" w:ascii="宋体" w:hAnsi="宋体" w:cs="Times New Roman"/>
          <w:kern w:val="0"/>
          <w:szCs w:val="24"/>
        </w:rPr>
      </w:pPr>
    </w:p>
    <w:p w14:paraId="5481EFE9">
      <w:pPr>
        <w:widowControl/>
        <w:ind w:firstLine="480"/>
        <w:jc w:val="left"/>
        <w:rPr>
          <w:rFonts w:hint="eastAsia" w:ascii="宋体" w:hAnsi="宋体" w:cs="Times New Roman"/>
          <w:kern w:val="0"/>
          <w:szCs w:val="24"/>
        </w:rPr>
      </w:pPr>
      <w:r>
        <w:rPr>
          <w:rFonts w:ascii="宋体" w:hAnsi="宋体" w:cs="Times New Roman"/>
          <w:kern w:val="0"/>
          <w:szCs w:val="24"/>
        </w:rPr>
        <w:br w:type="page"/>
      </w:r>
    </w:p>
    <w:p w14:paraId="17DD9EAE">
      <w:pPr>
        <w:spacing w:line="360" w:lineRule="auto"/>
        <w:ind w:firstLine="480"/>
        <w:rPr>
          <w:rFonts w:hint="eastAsia" w:ascii="仿宋_GB2312" w:hAnsi="宋体" w:eastAsia="仿宋_GB2312" w:cs="Times New Roman"/>
          <w:kern w:val="0"/>
          <w:szCs w:val="24"/>
        </w:rPr>
      </w:pPr>
      <w:r>
        <w:rPr>
          <w:rFonts w:hint="eastAsia" w:ascii="仿宋_GB2312" w:hAnsi="宋体" w:eastAsia="仿宋_GB2312" w:cs="Times New Roman"/>
          <w:kern w:val="0"/>
          <w:szCs w:val="24"/>
        </w:rPr>
        <w:t>附件3：</w:t>
      </w:r>
    </w:p>
    <w:p w14:paraId="2C1D354E">
      <w:pPr>
        <w:widowControl/>
        <w:spacing w:line="360" w:lineRule="auto"/>
        <w:ind w:firstLine="643"/>
        <w:jc w:val="center"/>
        <w:rPr>
          <w:rFonts w:hint="eastAsia" w:ascii="仿宋_GB2312" w:hAnsi="宋体" w:eastAsia="仿宋_GB2312"/>
          <w:b/>
          <w:bCs/>
          <w:sz w:val="32"/>
          <w:szCs w:val="32"/>
        </w:rPr>
      </w:pPr>
      <w:r>
        <w:rPr>
          <w:rFonts w:hint="eastAsia" w:ascii="仿宋_GB2312" w:hAnsi="宋体" w:eastAsia="仿宋_GB2312"/>
          <w:b/>
          <w:bCs/>
          <w:sz w:val="32"/>
          <w:szCs w:val="32"/>
        </w:rPr>
        <w:t>法定代表人身份证明书</w:t>
      </w:r>
    </w:p>
    <w:bookmarkEnd w:id="16"/>
    <w:p w14:paraId="7792BEBC">
      <w:pPr>
        <w:spacing w:line="360" w:lineRule="auto"/>
        <w:ind w:firstLine="482"/>
        <w:jc w:val="center"/>
        <w:rPr>
          <w:rFonts w:hint="eastAsia" w:ascii="仿宋_GB2312" w:hAnsi="宋体" w:eastAsia="仿宋_GB2312" w:cs="Times New Roman"/>
          <w:b/>
          <w:bCs/>
          <w:kern w:val="0"/>
          <w:szCs w:val="24"/>
        </w:rPr>
      </w:pPr>
    </w:p>
    <w:p w14:paraId="53AC247D">
      <w:pPr>
        <w:spacing w:line="360" w:lineRule="auto"/>
        <w:ind w:firstLine="480"/>
        <w:rPr>
          <w:rFonts w:hint="eastAsia" w:ascii="仿宋_GB2312" w:hAnsi="宋体" w:eastAsia="仿宋_GB2312" w:cs="Times New Roman"/>
          <w:szCs w:val="24"/>
        </w:rPr>
      </w:pPr>
      <w:r>
        <w:rPr>
          <w:rFonts w:hint="eastAsia" w:ascii="仿宋_GB2312" w:hAnsi="宋体" w:eastAsia="仿宋_GB2312" w:cs="Times New Roman"/>
          <w:szCs w:val="24"/>
        </w:rPr>
        <w:t>单位名称：</w:t>
      </w:r>
      <w:r>
        <w:rPr>
          <w:rFonts w:hint="eastAsia" w:ascii="仿宋_GB2312" w:hAnsi="宋体" w:eastAsia="仿宋_GB2312" w:cs="Times New Roman"/>
          <w:szCs w:val="24"/>
          <w:u w:val="single"/>
        </w:rPr>
        <w:t xml:space="preserve">                                                           </w:t>
      </w:r>
    </w:p>
    <w:p w14:paraId="0E00A25C">
      <w:pPr>
        <w:spacing w:line="360" w:lineRule="auto"/>
        <w:ind w:firstLine="480"/>
        <w:rPr>
          <w:rFonts w:hint="eastAsia" w:ascii="仿宋_GB2312" w:hAnsi="宋体" w:eastAsia="仿宋_GB2312" w:cs="Times New Roman"/>
          <w:szCs w:val="24"/>
        </w:rPr>
      </w:pPr>
      <w:r>
        <w:rPr>
          <w:rFonts w:hint="eastAsia" w:ascii="仿宋_GB2312" w:hAnsi="宋体" w:eastAsia="仿宋_GB2312" w:cs="Times New Roman"/>
          <w:szCs w:val="24"/>
        </w:rPr>
        <w:t>地    址：</w:t>
      </w:r>
      <w:r>
        <w:rPr>
          <w:rFonts w:hint="eastAsia" w:ascii="仿宋_GB2312" w:hAnsi="宋体" w:eastAsia="仿宋_GB2312" w:cs="Times New Roman"/>
          <w:szCs w:val="24"/>
          <w:u w:val="single"/>
        </w:rPr>
        <w:t xml:space="preserve">                                                           </w:t>
      </w:r>
      <w:r>
        <w:rPr>
          <w:rFonts w:hint="eastAsia" w:ascii="仿宋_GB2312" w:hAnsi="宋体" w:eastAsia="仿宋_GB2312" w:cs="Times New Roman"/>
          <w:szCs w:val="24"/>
        </w:rPr>
        <w:t xml:space="preserve"> </w:t>
      </w:r>
    </w:p>
    <w:p w14:paraId="496159D2">
      <w:pPr>
        <w:spacing w:line="360" w:lineRule="auto"/>
        <w:ind w:firstLine="482"/>
        <w:rPr>
          <w:rFonts w:hint="eastAsia" w:ascii="仿宋_GB2312" w:hAnsi="宋体" w:eastAsia="仿宋_GB2312" w:cs="Times New Roman"/>
          <w:szCs w:val="24"/>
        </w:rPr>
      </w:pPr>
      <w:r>
        <w:rPr>
          <w:rFonts w:hint="eastAsia" w:ascii="仿宋_GB2312" w:hAnsi="宋体" w:eastAsia="仿宋_GB2312" w:cs="Times New Roman"/>
          <w:b/>
          <w:bCs/>
          <w:kern w:val="0"/>
          <w:szCs w:val="24"/>
        </w:rPr>
        <w:t>法定代表人</w:t>
      </w:r>
      <w:r>
        <w:rPr>
          <w:rFonts w:hint="eastAsia" w:ascii="仿宋_GB2312" w:hAnsi="宋体" w:eastAsia="仿宋_GB2312" w:cs="Times New Roman"/>
          <w:szCs w:val="24"/>
        </w:rPr>
        <w:t>姓名：</w:t>
      </w:r>
      <w:r>
        <w:rPr>
          <w:rFonts w:hint="eastAsia" w:ascii="仿宋_GB2312" w:hAnsi="宋体" w:eastAsia="仿宋_GB2312" w:cs="Times New Roman"/>
          <w:szCs w:val="24"/>
          <w:u w:val="single"/>
        </w:rPr>
        <w:t xml:space="preserve">                          </w:t>
      </w:r>
      <w:r>
        <w:rPr>
          <w:rFonts w:hint="eastAsia" w:ascii="仿宋_GB2312" w:hAnsi="宋体" w:eastAsia="仿宋_GB2312" w:cs="Times New Roman"/>
          <w:szCs w:val="24"/>
        </w:rPr>
        <w:t xml:space="preserve"> 职务：</w:t>
      </w:r>
      <w:r>
        <w:rPr>
          <w:rFonts w:hint="eastAsia" w:ascii="仿宋_GB2312" w:hAnsi="宋体" w:eastAsia="仿宋_GB2312" w:cs="Times New Roman"/>
          <w:szCs w:val="24"/>
          <w:u w:val="single"/>
        </w:rPr>
        <w:t xml:space="preserve">                        </w:t>
      </w:r>
      <w:r>
        <w:rPr>
          <w:rFonts w:hint="eastAsia" w:ascii="仿宋_GB2312" w:hAnsi="宋体" w:eastAsia="仿宋_GB2312" w:cs="Times New Roman"/>
          <w:szCs w:val="24"/>
        </w:rPr>
        <w:t xml:space="preserve">  </w:t>
      </w:r>
    </w:p>
    <w:p w14:paraId="36BFA22F">
      <w:pPr>
        <w:spacing w:line="360" w:lineRule="auto"/>
        <w:ind w:firstLine="480"/>
        <w:rPr>
          <w:rFonts w:hint="eastAsia" w:ascii="仿宋_GB2312" w:hAnsi="宋体" w:eastAsia="仿宋_GB2312" w:cs="Times New Roman"/>
          <w:szCs w:val="24"/>
          <w:u w:val="single"/>
        </w:rPr>
      </w:pPr>
      <w:r>
        <w:rPr>
          <w:rFonts w:hint="eastAsia" w:ascii="仿宋_GB2312" w:hAnsi="宋体" w:eastAsia="仿宋_GB2312" w:cs="Times New Roman"/>
          <w:szCs w:val="24"/>
        </w:rPr>
        <w:t>身份证号码：</w:t>
      </w:r>
      <w:r>
        <w:rPr>
          <w:rFonts w:hint="eastAsia" w:ascii="仿宋_GB2312" w:hAnsi="宋体" w:eastAsia="仿宋_GB2312" w:cs="Times New Roman"/>
          <w:szCs w:val="24"/>
          <w:u w:val="single"/>
        </w:rPr>
        <w:t xml:space="preserve">                             </w:t>
      </w:r>
    </w:p>
    <w:p w14:paraId="70BDB731">
      <w:pPr>
        <w:spacing w:line="360" w:lineRule="auto"/>
        <w:ind w:firstLine="480"/>
        <w:rPr>
          <w:rFonts w:hint="eastAsia" w:ascii="仿宋_GB2312" w:hAnsi="宋体" w:eastAsia="仿宋_GB2312" w:cs="Times New Roman"/>
          <w:szCs w:val="24"/>
        </w:rPr>
      </w:pPr>
    </w:p>
    <w:p w14:paraId="3929D600">
      <w:pPr>
        <w:spacing w:line="360" w:lineRule="auto"/>
        <w:ind w:firstLine="480"/>
        <w:rPr>
          <w:rFonts w:hint="eastAsia" w:ascii="仿宋_GB2312" w:hAnsi="宋体" w:eastAsia="仿宋_GB2312"/>
          <w:color w:val="000000" w:themeColor="text1"/>
          <w:szCs w:val="24"/>
          <w14:textFill>
            <w14:solidFill>
              <w14:schemeClr w14:val="tx1"/>
            </w14:solidFill>
          </w14:textFill>
        </w:rPr>
      </w:pPr>
      <w:r>
        <w:rPr>
          <w:rFonts w:hint="eastAsia" w:ascii="仿宋_GB2312" w:hAnsi="宋体" w:eastAsia="仿宋_GB2312"/>
          <w:color w:val="000000" w:themeColor="text1"/>
          <w:szCs w:val="24"/>
          <w14:textFill>
            <w14:solidFill>
              <w14:schemeClr w14:val="tx1"/>
            </w14:solidFill>
          </w14:textFill>
        </w:rPr>
        <w:t>本证明书仅用于本单位</w:t>
      </w:r>
      <w:bookmarkStart w:id="17" w:name="_Hlk65521378"/>
      <w:r>
        <w:rPr>
          <w:rFonts w:hint="eastAsia" w:ascii="仿宋_GB2312" w:hAnsi="宋体" w:eastAsia="仿宋_GB2312"/>
          <w:color w:val="000000" w:themeColor="text1"/>
          <w:szCs w:val="24"/>
          <w14:textFill>
            <w14:solidFill>
              <w14:schemeClr w14:val="tx1"/>
            </w14:solidFill>
          </w14:textFill>
        </w:rPr>
        <w:t>签署</w:t>
      </w:r>
      <w:bookmarkEnd w:id="17"/>
      <w:r>
        <w:rPr>
          <w:rFonts w:hint="eastAsia" w:ascii="仿宋_GB2312" w:hAnsi="宋体" w:eastAsia="仿宋_GB2312"/>
          <w:color w:val="000000" w:themeColor="text1"/>
          <w:szCs w:val="24"/>
          <w14:textFill>
            <w14:solidFill>
              <w14:schemeClr w14:val="tx1"/>
            </w14:solidFill>
          </w14:textFill>
        </w:rPr>
        <w:t>2026年9月10日-202</w:t>
      </w:r>
      <w:r>
        <w:rPr>
          <w:rFonts w:hint="eastAsia" w:ascii="仿宋_GB2312" w:hAnsi="宋体" w:eastAsia="仿宋_GB2312"/>
          <w:color w:val="000000" w:themeColor="text1"/>
          <w:szCs w:val="24"/>
          <w:lang w:val="en-US" w:eastAsia="zh-CN"/>
          <w14:textFill>
            <w14:solidFill>
              <w14:schemeClr w14:val="tx1"/>
            </w14:solidFill>
          </w14:textFill>
        </w:rPr>
        <w:t>8</w:t>
      </w:r>
      <w:r>
        <w:rPr>
          <w:rFonts w:hint="eastAsia" w:ascii="仿宋_GB2312" w:hAnsi="宋体" w:eastAsia="仿宋_GB2312"/>
          <w:color w:val="000000" w:themeColor="text1"/>
          <w:szCs w:val="24"/>
          <w14:textFill>
            <w14:solidFill>
              <w14:schemeClr w14:val="tx1"/>
            </w14:solidFill>
          </w14:textFill>
        </w:rPr>
        <w:t>年9月9日智能车库维保项目的响应文件、签订合同和处理与之有关的一切事务。</w:t>
      </w:r>
    </w:p>
    <w:p w14:paraId="150399F1">
      <w:pPr>
        <w:spacing w:line="360" w:lineRule="auto"/>
        <w:ind w:firstLine="480"/>
        <w:rPr>
          <w:rFonts w:hint="eastAsia" w:ascii="仿宋_GB2312" w:hAnsi="宋体" w:eastAsia="仿宋_GB2312"/>
          <w:color w:val="000000" w:themeColor="text1"/>
          <w:szCs w:val="24"/>
          <w14:textFill>
            <w14:solidFill>
              <w14:schemeClr w14:val="tx1"/>
            </w14:solidFill>
          </w14:textFill>
        </w:rPr>
      </w:pPr>
      <w:r>
        <w:rPr>
          <w:rFonts w:hint="eastAsia" w:ascii="仿宋_GB2312" w:hAnsi="宋体" w:eastAsia="仿宋_GB2312" w:cs="Times New Roman"/>
          <w:szCs w:val="24"/>
        </w:rPr>
        <w:t>特此证明。</w:t>
      </w:r>
    </w:p>
    <w:p w14:paraId="46356128">
      <w:pPr>
        <w:spacing w:line="360" w:lineRule="auto"/>
        <w:ind w:firstLine="480"/>
        <w:rPr>
          <w:rFonts w:hint="eastAsia" w:ascii="仿宋_GB2312" w:hAnsi="宋体" w:eastAsia="仿宋_GB2312" w:cs="Times New Roman"/>
          <w:szCs w:val="24"/>
        </w:rPr>
      </w:pPr>
    </w:p>
    <w:p w14:paraId="08DD14A0">
      <w:pPr>
        <w:spacing w:line="360" w:lineRule="auto"/>
        <w:ind w:firstLine="480"/>
        <w:rPr>
          <w:rFonts w:hint="eastAsia" w:ascii="仿宋_GB2312" w:hAnsi="宋体" w:eastAsia="仿宋_GB2312" w:cs="Times New Roman"/>
          <w:szCs w:val="24"/>
        </w:rPr>
      </w:pPr>
    </w:p>
    <w:p w14:paraId="246CF07B">
      <w:pPr>
        <w:spacing w:line="360" w:lineRule="auto"/>
        <w:ind w:firstLine="480"/>
        <w:rPr>
          <w:rFonts w:hint="eastAsia" w:ascii="仿宋_GB2312" w:hAnsi="宋体" w:eastAsia="仿宋_GB2312" w:cs="Times New Roman"/>
          <w:szCs w:val="24"/>
        </w:rPr>
      </w:pPr>
    </w:p>
    <w:p w14:paraId="02525490">
      <w:pPr>
        <w:spacing w:line="360" w:lineRule="auto"/>
        <w:ind w:firstLine="480"/>
        <w:rPr>
          <w:rFonts w:hint="eastAsia" w:ascii="仿宋_GB2312" w:hAnsi="宋体" w:eastAsia="仿宋_GB2312" w:cs="Times New Roman"/>
          <w:szCs w:val="24"/>
        </w:rPr>
      </w:pPr>
    </w:p>
    <w:p w14:paraId="2B82BC6E">
      <w:pPr>
        <w:spacing w:line="360" w:lineRule="auto"/>
        <w:ind w:firstLine="480"/>
        <w:jc w:val="center"/>
        <w:rPr>
          <w:rFonts w:hint="eastAsia" w:ascii="仿宋_GB2312" w:hAnsi="宋体" w:eastAsia="仿宋_GB2312"/>
          <w:color w:val="000000" w:themeColor="text1"/>
          <w:szCs w:val="24"/>
          <w:u w:val="single"/>
          <w14:textFill>
            <w14:solidFill>
              <w14:schemeClr w14:val="tx1"/>
            </w14:solidFill>
          </w14:textFill>
        </w:rPr>
      </w:pPr>
      <w:r>
        <w:rPr>
          <w:rFonts w:hint="eastAsia" w:ascii="仿宋_GB2312" w:hAnsi="宋体" w:eastAsia="仿宋_GB2312"/>
          <w:color w:val="000000" w:themeColor="text1"/>
          <w:szCs w:val="24"/>
          <w14:textFill>
            <w14:solidFill>
              <w14:schemeClr w14:val="tx1"/>
            </w14:solidFill>
          </w14:textFill>
        </w:rPr>
        <w:t>响应单位(公章)：</w:t>
      </w:r>
      <w:r>
        <w:rPr>
          <w:rFonts w:hint="eastAsia" w:ascii="仿宋_GB2312" w:hAnsi="宋体" w:eastAsia="仿宋_GB2312"/>
          <w:color w:val="000000" w:themeColor="text1"/>
          <w:szCs w:val="24"/>
          <w:u w:val="single"/>
          <w14:textFill>
            <w14:solidFill>
              <w14:schemeClr w14:val="tx1"/>
            </w14:solidFill>
          </w14:textFill>
        </w:rPr>
        <w:t xml:space="preserve">                                     </w:t>
      </w:r>
    </w:p>
    <w:p w14:paraId="51839091">
      <w:pPr>
        <w:spacing w:line="360" w:lineRule="auto"/>
        <w:ind w:firstLine="480"/>
        <w:jc w:val="center"/>
        <w:rPr>
          <w:rFonts w:hint="eastAsia" w:ascii="仿宋_GB2312" w:hAnsi="宋体" w:eastAsia="仿宋_GB2312"/>
          <w:color w:val="000000" w:themeColor="text1"/>
          <w:szCs w:val="24"/>
          <w14:textFill>
            <w14:solidFill>
              <w14:schemeClr w14:val="tx1"/>
            </w14:solidFill>
          </w14:textFill>
        </w:rPr>
      </w:pPr>
    </w:p>
    <w:p w14:paraId="3F4DFBE5">
      <w:pPr>
        <w:spacing w:line="360" w:lineRule="auto"/>
        <w:ind w:firstLine="3600" w:firstLineChars="1500"/>
        <w:rPr>
          <w:rFonts w:hint="eastAsia" w:ascii="仿宋_GB2312" w:hAnsi="宋体" w:eastAsia="仿宋_GB2312"/>
          <w:color w:val="000000" w:themeColor="text1"/>
          <w:szCs w:val="24"/>
          <w:u w:val="single"/>
          <w14:textFill>
            <w14:solidFill>
              <w14:schemeClr w14:val="tx1"/>
            </w14:solidFill>
          </w14:textFill>
        </w:rPr>
      </w:pPr>
      <w:r>
        <w:rPr>
          <w:rFonts w:hint="eastAsia" w:ascii="仿宋_GB2312" w:hAnsi="宋体" w:eastAsia="仿宋_GB2312"/>
          <w:color w:val="000000" w:themeColor="text1"/>
          <w:szCs w:val="24"/>
          <w14:textFill>
            <w14:solidFill>
              <w14:schemeClr w14:val="tx1"/>
            </w14:solidFill>
          </w14:textFill>
        </w:rPr>
        <w:t>日        期：</w:t>
      </w:r>
      <w:r>
        <w:rPr>
          <w:rFonts w:hint="eastAsia" w:ascii="仿宋_GB2312" w:hAnsi="宋体" w:eastAsia="仿宋_GB2312"/>
          <w:color w:val="000000" w:themeColor="text1"/>
          <w:szCs w:val="24"/>
          <w:u w:val="single"/>
          <w14:textFill>
            <w14:solidFill>
              <w14:schemeClr w14:val="tx1"/>
            </w14:solidFill>
          </w14:textFill>
        </w:rPr>
        <w:t xml:space="preserve">                           </w:t>
      </w:r>
    </w:p>
    <w:p w14:paraId="2DC54547">
      <w:pPr>
        <w:spacing w:line="360" w:lineRule="auto"/>
        <w:ind w:firstLine="480"/>
        <w:rPr>
          <w:rFonts w:hint="eastAsia" w:ascii="仿宋_GB2312" w:hAnsi="宋体" w:eastAsia="仿宋_GB2312"/>
          <w:color w:val="000000" w:themeColor="text1"/>
          <w:szCs w:val="24"/>
          <w:u w:val="single"/>
          <w14:textFill>
            <w14:solidFill>
              <w14:schemeClr w14:val="tx1"/>
            </w14:solidFill>
          </w14:textFill>
        </w:rPr>
      </w:pPr>
    </w:p>
    <w:p w14:paraId="03FF7A68">
      <w:pPr>
        <w:spacing w:line="360" w:lineRule="auto"/>
        <w:ind w:firstLine="480"/>
        <w:rPr>
          <w:rFonts w:hint="eastAsia" w:ascii="仿宋_GB2312" w:hAnsi="宋体" w:eastAsia="仿宋_GB2312"/>
          <w:color w:val="000000" w:themeColor="text1"/>
          <w:szCs w:val="24"/>
          <w:u w:val="single"/>
          <w14:textFill>
            <w14:solidFill>
              <w14:schemeClr w14:val="tx1"/>
            </w14:solidFill>
          </w14:textFill>
        </w:rPr>
      </w:pPr>
    </w:p>
    <w:p w14:paraId="7B079170">
      <w:pPr>
        <w:spacing w:line="360" w:lineRule="auto"/>
        <w:ind w:firstLine="482"/>
        <w:rPr>
          <w:rFonts w:hint="eastAsia" w:ascii="仿宋_GB2312" w:hAnsi="宋体" w:eastAsia="仿宋_GB2312" w:cs="Times New Roman"/>
          <w:b/>
          <w:szCs w:val="24"/>
        </w:rPr>
      </w:pPr>
      <w:r>
        <w:rPr>
          <w:rFonts w:hint="eastAsia" w:ascii="仿宋_GB2312" w:hAnsi="宋体" w:eastAsia="仿宋_GB2312" w:cs="Times New Roman"/>
          <w:b/>
          <w:szCs w:val="24"/>
        </w:rPr>
        <w:t>附：</w:t>
      </w:r>
      <w:r>
        <w:rPr>
          <w:rFonts w:hint="eastAsia" w:ascii="仿宋_GB2312" w:hAnsi="宋体" w:eastAsia="仿宋_GB2312" w:cs="Times New Roman"/>
          <w:b/>
          <w:bCs/>
          <w:kern w:val="0"/>
          <w:szCs w:val="24"/>
        </w:rPr>
        <w:t>法定代表人</w:t>
      </w:r>
      <w:r>
        <w:rPr>
          <w:rFonts w:hint="eastAsia" w:ascii="仿宋_GB2312" w:hAnsi="宋体" w:eastAsia="仿宋_GB2312" w:cs="Times New Roman"/>
          <w:b/>
          <w:szCs w:val="24"/>
        </w:rPr>
        <w:t>身份证复印件（正反面）。</w:t>
      </w:r>
    </w:p>
    <w:p w14:paraId="6C637596">
      <w:pPr>
        <w:spacing w:line="360" w:lineRule="auto"/>
        <w:ind w:firstLine="480"/>
        <w:rPr>
          <w:rFonts w:hint="eastAsia" w:ascii="仿宋_GB2312" w:hAnsi="宋体" w:eastAsia="仿宋_GB2312" w:cs="Times New Roman"/>
          <w:szCs w:val="24"/>
        </w:rPr>
      </w:pPr>
    </w:p>
    <w:p w14:paraId="3EA2FE18">
      <w:pPr>
        <w:spacing w:line="360" w:lineRule="auto"/>
        <w:ind w:right="840" w:firstLine="480"/>
        <w:jc w:val="center"/>
        <w:rPr>
          <w:rFonts w:hint="eastAsia" w:ascii="仿宋_GB2312" w:hAnsi="宋体" w:eastAsia="仿宋_GB2312" w:cs="Times New Roman"/>
          <w:szCs w:val="24"/>
        </w:rPr>
      </w:pPr>
      <w:r>
        <w:rPr>
          <w:rFonts w:hint="eastAsia" w:ascii="仿宋_GB2312" w:hAnsi="宋体" w:eastAsia="仿宋_GB2312" w:cs="Times New Roman"/>
          <w:szCs w:val="24"/>
        </w:rPr>
        <w:t xml:space="preserve">                                            </w:t>
      </w:r>
    </w:p>
    <w:p w14:paraId="0DFAA947">
      <w:pPr>
        <w:widowControl/>
        <w:ind w:firstLine="480"/>
        <w:jc w:val="left"/>
        <w:rPr>
          <w:rFonts w:hint="eastAsia" w:ascii="仿宋_GB2312" w:hAnsi="宋体" w:eastAsia="仿宋_GB2312" w:cs="Times New Roman"/>
          <w:kern w:val="0"/>
          <w:szCs w:val="24"/>
        </w:rPr>
      </w:pPr>
      <w:r>
        <w:rPr>
          <w:rFonts w:hint="eastAsia" w:ascii="仿宋_GB2312" w:hAnsi="宋体" w:eastAsia="仿宋_GB2312" w:cs="Times New Roman"/>
          <w:kern w:val="0"/>
          <w:szCs w:val="24"/>
        </w:rPr>
        <w:br w:type="page"/>
      </w:r>
    </w:p>
    <w:p w14:paraId="643CB200">
      <w:pPr>
        <w:widowControl/>
        <w:spacing w:line="360" w:lineRule="auto"/>
        <w:ind w:firstLine="480"/>
        <w:jc w:val="left"/>
        <w:rPr>
          <w:rFonts w:hint="eastAsia" w:ascii="仿宋_GB2312" w:hAnsi="宋体" w:eastAsia="仿宋_GB2312" w:cs="Times New Roman"/>
          <w:kern w:val="0"/>
          <w:szCs w:val="24"/>
        </w:rPr>
      </w:pPr>
      <w:r>
        <w:rPr>
          <w:rFonts w:hint="eastAsia" w:ascii="仿宋_GB2312" w:hAnsi="宋体" w:eastAsia="仿宋_GB2312" w:cs="Times New Roman"/>
          <w:kern w:val="0"/>
          <w:szCs w:val="24"/>
        </w:rPr>
        <w:t>附件4：</w:t>
      </w:r>
    </w:p>
    <w:p w14:paraId="0785A676">
      <w:pPr>
        <w:widowControl/>
        <w:spacing w:line="360" w:lineRule="auto"/>
        <w:ind w:firstLine="643"/>
        <w:jc w:val="center"/>
        <w:rPr>
          <w:rFonts w:hint="eastAsia" w:ascii="仿宋_GB2312" w:hAnsi="宋体" w:eastAsia="仿宋_GB2312"/>
          <w:b/>
          <w:bCs/>
          <w:sz w:val="32"/>
          <w:szCs w:val="32"/>
        </w:rPr>
      </w:pPr>
      <w:r>
        <w:rPr>
          <w:rFonts w:hint="eastAsia" w:ascii="仿宋_GB2312" w:hAnsi="宋体" w:eastAsia="仿宋_GB2312"/>
          <w:b/>
          <w:bCs/>
          <w:sz w:val="32"/>
          <w:szCs w:val="32"/>
        </w:rPr>
        <w:t>法定代表人授权委托书</w:t>
      </w:r>
    </w:p>
    <w:p w14:paraId="2D4FA508">
      <w:pPr>
        <w:spacing w:line="360" w:lineRule="auto"/>
        <w:ind w:firstLine="480"/>
        <w:jc w:val="center"/>
        <w:rPr>
          <w:rFonts w:hint="eastAsia" w:ascii="仿宋_GB2312" w:hAnsi="宋体" w:eastAsia="仿宋_GB2312" w:cs="Times New Roman"/>
          <w:kern w:val="0"/>
          <w:szCs w:val="24"/>
        </w:rPr>
      </w:pPr>
      <w:r>
        <w:rPr>
          <w:rFonts w:hint="eastAsia" w:ascii="仿宋_GB2312" w:hAnsi="宋体" w:eastAsia="仿宋_GB2312" w:cs="Times New Roman"/>
          <w:kern w:val="0"/>
          <w:szCs w:val="24"/>
        </w:rPr>
        <w:t>（适用于有委托代理人的情况）</w:t>
      </w:r>
    </w:p>
    <w:p w14:paraId="637AE52B">
      <w:pPr>
        <w:spacing w:line="360" w:lineRule="auto"/>
        <w:ind w:firstLine="480"/>
        <w:rPr>
          <w:rFonts w:hint="eastAsia" w:ascii="仿宋_GB2312" w:hAnsi="宋体" w:eastAsia="仿宋_GB2312" w:cs="Times New Roman"/>
          <w:szCs w:val="24"/>
        </w:rPr>
      </w:pPr>
    </w:p>
    <w:p w14:paraId="7CB68479">
      <w:pPr>
        <w:spacing w:line="360" w:lineRule="auto"/>
        <w:ind w:firstLine="480"/>
        <w:rPr>
          <w:rFonts w:hint="eastAsia" w:ascii="仿宋_GB2312" w:hAnsi="宋体" w:eastAsia="仿宋_GB2312" w:cs="Times New Roman"/>
          <w:szCs w:val="24"/>
        </w:rPr>
      </w:pPr>
      <w:r>
        <w:rPr>
          <w:rFonts w:hint="eastAsia" w:ascii="仿宋_GB2312" w:hAnsi="宋体" w:eastAsia="仿宋_GB2312" w:cs="Times New Roman"/>
          <w:szCs w:val="24"/>
        </w:rPr>
        <w:t>本人</w:t>
      </w:r>
      <w:r>
        <w:rPr>
          <w:rFonts w:hint="eastAsia" w:ascii="仿宋_GB2312" w:hAnsi="宋体" w:eastAsia="仿宋_GB2312" w:cs="Times New Roman"/>
          <w:szCs w:val="24"/>
          <w:u w:val="single"/>
        </w:rPr>
        <w:t xml:space="preserve">          （</w:t>
      </w:r>
      <w:r>
        <w:rPr>
          <w:rFonts w:hint="eastAsia" w:ascii="仿宋_GB2312" w:hAnsi="宋体" w:eastAsia="仿宋_GB2312" w:cs="Times New Roman"/>
          <w:b/>
          <w:bCs/>
          <w:kern w:val="0"/>
          <w:szCs w:val="24"/>
        </w:rPr>
        <w:t>法定代表人</w:t>
      </w:r>
      <w:r>
        <w:rPr>
          <w:rFonts w:hint="eastAsia" w:ascii="仿宋_GB2312" w:hAnsi="宋体" w:eastAsia="仿宋_GB2312" w:cs="Times New Roman"/>
          <w:szCs w:val="24"/>
          <w:u w:val="single"/>
        </w:rPr>
        <w:t>姓名）</w:t>
      </w:r>
      <w:r>
        <w:rPr>
          <w:rFonts w:hint="eastAsia" w:ascii="仿宋_GB2312" w:hAnsi="宋体" w:eastAsia="仿宋_GB2312" w:cs="Times New Roman"/>
          <w:szCs w:val="24"/>
        </w:rPr>
        <w:t>，身份证号码：</w:t>
      </w:r>
      <w:r>
        <w:rPr>
          <w:rFonts w:hint="eastAsia" w:ascii="仿宋_GB2312" w:hAnsi="宋体" w:eastAsia="仿宋_GB2312" w:cs="Times New Roman"/>
          <w:szCs w:val="24"/>
          <w:u w:val="single"/>
        </w:rPr>
        <w:t xml:space="preserve">      </w:t>
      </w:r>
      <w:r>
        <w:rPr>
          <w:rFonts w:hint="eastAsia" w:ascii="仿宋_GB2312" w:hAnsi="宋体" w:eastAsia="仿宋_GB2312" w:cs="Times New Roman"/>
          <w:szCs w:val="24"/>
        </w:rPr>
        <w:t>，系</w:t>
      </w:r>
      <w:r>
        <w:rPr>
          <w:rFonts w:hint="eastAsia" w:ascii="仿宋_GB2312" w:hAnsi="宋体" w:eastAsia="仿宋_GB2312" w:cs="Times New Roman"/>
          <w:szCs w:val="24"/>
          <w:u w:val="single"/>
        </w:rPr>
        <w:t xml:space="preserve">         （供应商名称）</w:t>
      </w:r>
      <w:r>
        <w:rPr>
          <w:rFonts w:hint="eastAsia" w:ascii="仿宋_GB2312" w:hAnsi="宋体" w:eastAsia="仿宋_GB2312" w:cs="Times New Roman"/>
          <w:szCs w:val="24"/>
        </w:rPr>
        <w:t>的负责人，现授权委托</w:t>
      </w:r>
      <w:r>
        <w:rPr>
          <w:rFonts w:hint="eastAsia" w:ascii="仿宋_GB2312" w:hAnsi="宋体" w:eastAsia="仿宋_GB2312" w:cs="Times New Roman"/>
          <w:szCs w:val="24"/>
          <w:u w:val="single"/>
        </w:rPr>
        <w:t xml:space="preserve">        （姓名）</w:t>
      </w:r>
      <w:r>
        <w:rPr>
          <w:rFonts w:hint="eastAsia" w:ascii="仿宋_GB2312" w:hAnsi="宋体" w:eastAsia="仿宋_GB2312" w:cs="Times New Roman"/>
          <w:szCs w:val="24"/>
        </w:rPr>
        <w:t>身份证号码：</w:t>
      </w:r>
      <w:r>
        <w:rPr>
          <w:rFonts w:hint="eastAsia" w:ascii="仿宋_GB2312" w:hAnsi="宋体" w:eastAsia="仿宋_GB2312" w:cs="Times New Roman"/>
          <w:szCs w:val="24"/>
          <w:u w:val="single"/>
        </w:rPr>
        <w:t xml:space="preserve">           </w:t>
      </w:r>
      <w:r>
        <w:rPr>
          <w:rFonts w:hint="eastAsia" w:ascii="仿宋_GB2312" w:hAnsi="宋体" w:eastAsia="仿宋_GB2312" w:cs="Times New Roman"/>
          <w:szCs w:val="24"/>
        </w:rPr>
        <w:t>为我方代理人。代理人根据授权，以我方名义签署、澄清确认、递交、撤回、修改</w:t>
      </w:r>
      <w:bookmarkStart w:id="18" w:name="_Hlk65521456"/>
      <w:r>
        <w:rPr>
          <w:rFonts w:hint="eastAsia" w:ascii="仿宋_GB2312" w:hAnsi="宋体" w:eastAsia="仿宋_GB2312" w:cs="Times New Roman"/>
          <w:szCs w:val="24"/>
        </w:rPr>
        <w:t>2026年9月10日-202</w:t>
      </w:r>
      <w:r>
        <w:rPr>
          <w:rFonts w:hint="eastAsia" w:ascii="仿宋_GB2312" w:hAnsi="宋体" w:eastAsia="仿宋_GB2312" w:cs="Times New Roman"/>
          <w:szCs w:val="24"/>
          <w:lang w:val="en-US" w:eastAsia="zh-CN"/>
        </w:rPr>
        <w:t>8</w:t>
      </w:r>
      <w:r>
        <w:rPr>
          <w:rFonts w:hint="eastAsia" w:ascii="仿宋_GB2312" w:hAnsi="宋体" w:eastAsia="仿宋_GB2312" w:cs="Times New Roman"/>
          <w:szCs w:val="24"/>
        </w:rPr>
        <w:t>年9月9日智能车库维保项目</w:t>
      </w:r>
      <w:bookmarkEnd w:id="18"/>
      <w:r>
        <w:rPr>
          <w:rFonts w:hint="eastAsia" w:ascii="仿宋_GB2312" w:hAnsi="宋体" w:eastAsia="仿宋_GB2312" w:cs="Times New Roman"/>
          <w:szCs w:val="24"/>
        </w:rPr>
        <w:t>的响应文件、签订合同和处理有关事宜，其法律后果由我方承担。</w:t>
      </w:r>
    </w:p>
    <w:p w14:paraId="01051EB5">
      <w:pPr>
        <w:spacing w:line="360" w:lineRule="auto"/>
        <w:ind w:firstLine="480"/>
        <w:rPr>
          <w:rFonts w:hint="eastAsia" w:ascii="仿宋_GB2312" w:hAnsi="宋体" w:eastAsia="仿宋_GB2312" w:cs="Times New Roman"/>
          <w:szCs w:val="24"/>
        </w:rPr>
      </w:pPr>
      <w:r>
        <w:rPr>
          <w:rFonts w:hint="eastAsia" w:ascii="仿宋_GB2312" w:hAnsi="宋体" w:eastAsia="仿宋_GB2312" w:cs="Times New Roman"/>
          <w:szCs w:val="24"/>
        </w:rPr>
        <w:t>委托期限：自本委托书签署之日起至</w:t>
      </w:r>
      <w:r>
        <w:rPr>
          <w:rFonts w:hint="eastAsia" w:ascii="仿宋_GB2312" w:hAnsi="宋体" w:eastAsia="仿宋_GB2312"/>
          <w:color w:val="000000" w:themeColor="text1"/>
          <w:szCs w:val="24"/>
          <w14:textFill>
            <w14:solidFill>
              <w14:schemeClr w14:val="tx1"/>
            </w14:solidFill>
          </w14:textFill>
        </w:rPr>
        <w:t>2026年9月10日-202</w:t>
      </w:r>
      <w:r>
        <w:rPr>
          <w:rFonts w:hint="eastAsia" w:ascii="仿宋_GB2312" w:hAnsi="宋体" w:eastAsia="仿宋_GB2312"/>
          <w:color w:val="000000" w:themeColor="text1"/>
          <w:szCs w:val="24"/>
          <w:lang w:val="en-US" w:eastAsia="zh-CN"/>
          <w14:textFill>
            <w14:solidFill>
              <w14:schemeClr w14:val="tx1"/>
            </w14:solidFill>
          </w14:textFill>
        </w:rPr>
        <w:t>8</w:t>
      </w:r>
      <w:r>
        <w:rPr>
          <w:rFonts w:hint="eastAsia" w:ascii="仿宋_GB2312" w:hAnsi="宋体" w:eastAsia="仿宋_GB2312"/>
          <w:color w:val="000000" w:themeColor="text1"/>
          <w:szCs w:val="24"/>
          <w14:textFill>
            <w14:solidFill>
              <w14:schemeClr w14:val="tx1"/>
            </w14:solidFill>
          </w14:textFill>
        </w:rPr>
        <w:t>年9月9日智能车库维保</w:t>
      </w:r>
      <w:r>
        <w:rPr>
          <w:rFonts w:hint="eastAsia" w:ascii="仿宋_GB2312" w:hAnsi="宋体" w:eastAsia="仿宋_GB2312" w:cs="Times New Roman"/>
          <w:szCs w:val="24"/>
        </w:rPr>
        <w:t>项目签订采购合同之日止。</w:t>
      </w:r>
    </w:p>
    <w:p w14:paraId="3C77A5E6">
      <w:pPr>
        <w:spacing w:line="360" w:lineRule="auto"/>
        <w:ind w:firstLine="480"/>
        <w:rPr>
          <w:rFonts w:hint="eastAsia" w:ascii="仿宋_GB2312" w:hAnsi="宋体" w:eastAsia="仿宋_GB2312" w:cs="Times New Roman"/>
          <w:szCs w:val="24"/>
        </w:rPr>
      </w:pPr>
      <w:r>
        <w:rPr>
          <w:rFonts w:hint="eastAsia" w:ascii="仿宋_GB2312" w:hAnsi="宋体" w:eastAsia="仿宋_GB2312" w:cs="Times New Roman"/>
          <w:szCs w:val="24"/>
        </w:rPr>
        <w:t>代理人无转委托权。</w:t>
      </w:r>
    </w:p>
    <w:p w14:paraId="55243F79">
      <w:pPr>
        <w:spacing w:line="360" w:lineRule="auto"/>
        <w:ind w:firstLine="480"/>
        <w:rPr>
          <w:rFonts w:hint="eastAsia" w:ascii="仿宋_GB2312" w:hAnsi="宋体" w:eastAsia="仿宋_GB2312" w:cs="Times New Roman"/>
          <w:szCs w:val="24"/>
        </w:rPr>
      </w:pPr>
    </w:p>
    <w:p w14:paraId="6AA3DEDE">
      <w:pPr>
        <w:spacing w:line="360" w:lineRule="auto"/>
        <w:ind w:firstLine="480"/>
        <w:rPr>
          <w:rFonts w:hint="eastAsia" w:ascii="仿宋_GB2312" w:hAnsi="宋体" w:eastAsia="仿宋_GB2312" w:cs="Times New Roman"/>
          <w:szCs w:val="24"/>
        </w:rPr>
      </w:pPr>
    </w:p>
    <w:p w14:paraId="2BA9E9A7">
      <w:pPr>
        <w:spacing w:line="360" w:lineRule="auto"/>
        <w:ind w:firstLine="480"/>
        <w:rPr>
          <w:rFonts w:hint="eastAsia" w:ascii="仿宋_GB2312" w:hAnsi="宋体" w:eastAsia="仿宋_GB2312" w:cs="Times New Roman"/>
          <w:szCs w:val="24"/>
        </w:rPr>
      </w:pPr>
      <w:r>
        <w:rPr>
          <w:rFonts w:hint="eastAsia" w:ascii="仿宋_GB2312" w:hAnsi="宋体" w:eastAsia="仿宋_GB2312" w:cs="Times New Roman"/>
          <w:szCs w:val="24"/>
        </w:rPr>
        <w:t xml:space="preserve">   </w:t>
      </w:r>
    </w:p>
    <w:p w14:paraId="307580F0">
      <w:pPr>
        <w:spacing w:line="360" w:lineRule="auto"/>
        <w:ind w:firstLine="480"/>
        <w:rPr>
          <w:rFonts w:hint="eastAsia" w:ascii="仿宋_GB2312" w:hAnsi="宋体" w:eastAsia="仿宋_GB2312" w:cs="Times New Roman"/>
          <w:szCs w:val="24"/>
        </w:rPr>
      </w:pPr>
    </w:p>
    <w:p w14:paraId="26E045CA">
      <w:pPr>
        <w:spacing w:line="360" w:lineRule="auto"/>
        <w:ind w:left="1985" w:leftChars="827" w:firstLine="960" w:firstLineChars="400"/>
        <w:jc w:val="left"/>
        <w:rPr>
          <w:rFonts w:hint="eastAsia" w:ascii="仿宋_GB2312" w:hAnsi="宋体" w:eastAsia="仿宋_GB2312" w:cs="Times New Roman"/>
          <w:szCs w:val="24"/>
          <w:u w:val="single"/>
        </w:rPr>
      </w:pPr>
      <w:r>
        <w:rPr>
          <w:rFonts w:hint="eastAsia" w:ascii="仿宋_GB2312" w:hAnsi="宋体" w:eastAsia="仿宋_GB2312" w:cs="Times New Roman"/>
          <w:szCs w:val="24"/>
        </w:rPr>
        <w:t>供 应 商（公章）：</w:t>
      </w:r>
      <w:r>
        <w:rPr>
          <w:rFonts w:hint="eastAsia" w:ascii="仿宋_GB2312" w:hAnsi="宋体" w:eastAsia="仿宋_GB2312" w:cs="Times New Roman"/>
          <w:szCs w:val="24"/>
          <w:u w:val="single"/>
        </w:rPr>
        <w:t xml:space="preserve">                            </w:t>
      </w:r>
    </w:p>
    <w:p w14:paraId="04E21E9E">
      <w:pPr>
        <w:spacing w:line="360" w:lineRule="auto"/>
        <w:ind w:left="1985" w:leftChars="827" w:firstLine="960" w:firstLineChars="400"/>
        <w:jc w:val="left"/>
        <w:rPr>
          <w:rFonts w:hint="eastAsia" w:ascii="仿宋_GB2312" w:hAnsi="宋体" w:eastAsia="仿宋_GB2312" w:cs="Times New Roman"/>
          <w:szCs w:val="24"/>
          <w:u w:val="single"/>
        </w:rPr>
      </w:pPr>
    </w:p>
    <w:p w14:paraId="71BD4AC5">
      <w:pPr>
        <w:spacing w:line="360" w:lineRule="auto"/>
        <w:ind w:firstLine="2891" w:firstLineChars="1200"/>
        <w:jc w:val="left"/>
        <w:rPr>
          <w:rFonts w:hint="eastAsia" w:ascii="仿宋_GB2312" w:hAnsi="宋体" w:eastAsia="仿宋_GB2312" w:cs="Times New Roman"/>
          <w:szCs w:val="24"/>
          <w:u w:val="single"/>
        </w:rPr>
      </w:pPr>
      <w:r>
        <w:rPr>
          <w:rFonts w:hint="eastAsia" w:ascii="仿宋_GB2312" w:hAnsi="宋体" w:eastAsia="仿宋_GB2312" w:cs="Times New Roman"/>
          <w:b/>
          <w:bCs/>
          <w:kern w:val="0"/>
          <w:szCs w:val="24"/>
        </w:rPr>
        <w:t>法定代表人</w:t>
      </w:r>
      <w:r>
        <w:rPr>
          <w:rFonts w:hint="eastAsia" w:ascii="仿宋_GB2312" w:hAnsi="宋体" w:eastAsia="仿宋_GB2312" w:cs="Times New Roman"/>
          <w:szCs w:val="24"/>
        </w:rPr>
        <w:t>（签名）：</w:t>
      </w:r>
      <w:r>
        <w:rPr>
          <w:rFonts w:hint="eastAsia" w:ascii="仿宋_GB2312" w:hAnsi="宋体" w:eastAsia="仿宋_GB2312" w:cs="Times New Roman"/>
          <w:szCs w:val="24"/>
          <w:u w:val="single"/>
        </w:rPr>
        <w:t xml:space="preserve">                            </w:t>
      </w:r>
    </w:p>
    <w:p w14:paraId="05EA4A53">
      <w:pPr>
        <w:spacing w:line="360" w:lineRule="auto"/>
        <w:ind w:firstLine="2880" w:firstLineChars="1200"/>
        <w:jc w:val="left"/>
        <w:rPr>
          <w:rFonts w:hint="eastAsia" w:ascii="仿宋_GB2312" w:hAnsi="宋体" w:eastAsia="仿宋_GB2312" w:cs="Times New Roman"/>
          <w:szCs w:val="24"/>
        </w:rPr>
      </w:pPr>
    </w:p>
    <w:p w14:paraId="08321538">
      <w:pPr>
        <w:spacing w:line="360" w:lineRule="auto"/>
        <w:ind w:left="1985" w:leftChars="827" w:firstLine="480"/>
        <w:jc w:val="left"/>
        <w:rPr>
          <w:rFonts w:hint="eastAsia" w:ascii="仿宋_GB2312" w:hAnsi="宋体" w:eastAsia="仿宋_GB2312" w:cs="Times New Roman"/>
          <w:szCs w:val="24"/>
        </w:rPr>
      </w:pPr>
      <w:r>
        <w:rPr>
          <w:rFonts w:hint="eastAsia" w:ascii="仿宋_GB2312" w:hAnsi="宋体" w:eastAsia="仿宋_GB2312" w:cs="Times New Roman"/>
          <w:szCs w:val="24"/>
        </w:rPr>
        <w:t xml:space="preserve">        日          期：</w:t>
      </w:r>
      <w:r>
        <w:rPr>
          <w:rFonts w:hint="eastAsia" w:ascii="仿宋_GB2312" w:hAnsi="宋体" w:eastAsia="仿宋_GB2312" w:cs="Times New Roman"/>
          <w:szCs w:val="24"/>
          <w:u w:val="single"/>
        </w:rPr>
        <w:t xml:space="preserve">                                 </w:t>
      </w:r>
      <w:r>
        <w:rPr>
          <w:rFonts w:hint="eastAsia" w:ascii="仿宋_GB2312" w:hAnsi="宋体" w:eastAsia="仿宋_GB2312" w:cs="Times New Roman"/>
          <w:szCs w:val="24"/>
        </w:rPr>
        <w:t xml:space="preserve">  </w:t>
      </w:r>
    </w:p>
    <w:p w14:paraId="0464A844">
      <w:pPr>
        <w:spacing w:line="360" w:lineRule="auto"/>
        <w:ind w:firstLine="480"/>
        <w:jc w:val="left"/>
        <w:rPr>
          <w:rFonts w:hint="eastAsia" w:ascii="仿宋_GB2312" w:hAnsi="宋体" w:eastAsia="仿宋_GB2312" w:cs="Times New Roman"/>
          <w:szCs w:val="24"/>
          <w:u w:val="single"/>
        </w:rPr>
      </w:pPr>
    </w:p>
    <w:p w14:paraId="2497DE8B">
      <w:pPr>
        <w:spacing w:line="360" w:lineRule="auto"/>
        <w:ind w:firstLine="480"/>
        <w:jc w:val="left"/>
        <w:rPr>
          <w:rFonts w:hint="eastAsia" w:ascii="仿宋_GB2312" w:hAnsi="宋体" w:eastAsia="仿宋_GB2312" w:cs="Times New Roman"/>
          <w:szCs w:val="24"/>
          <w:u w:val="single"/>
        </w:rPr>
      </w:pPr>
    </w:p>
    <w:p w14:paraId="714149EB">
      <w:pPr>
        <w:spacing w:line="360" w:lineRule="auto"/>
        <w:ind w:firstLine="482"/>
        <w:rPr>
          <w:rFonts w:hint="eastAsia" w:ascii="仿宋_GB2312" w:hAnsi="宋体" w:eastAsia="仿宋_GB2312" w:cs="Times New Roman"/>
          <w:b/>
          <w:szCs w:val="24"/>
        </w:rPr>
      </w:pPr>
      <w:r>
        <w:rPr>
          <w:rFonts w:hint="eastAsia" w:ascii="仿宋_GB2312" w:hAnsi="宋体" w:eastAsia="仿宋_GB2312" w:cs="Times New Roman"/>
          <w:b/>
          <w:szCs w:val="24"/>
        </w:rPr>
        <w:t>附：委托代理人身份证复印件（正反面）。</w:t>
      </w:r>
    </w:p>
    <w:p w14:paraId="70BDAAE3">
      <w:pPr>
        <w:spacing w:line="360" w:lineRule="auto"/>
        <w:ind w:firstLine="480"/>
        <w:jc w:val="left"/>
        <w:rPr>
          <w:rFonts w:hint="eastAsia" w:ascii="仿宋_GB2312" w:hAnsi="宋体" w:eastAsia="仿宋_GB2312" w:cs="Times New Roman"/>
          <w:szCs w:val="24"/>
          <w:u w:val="single"/>
        </w:rPr>
      </w:pPr>
    </w:p>
    <w:p w14:paraId="3751C3AC">
      <w:pPr>
        <w:spacing w:line="360" w:lineRule="auto"/>
        <w:ind w:firstLine="480"/>
        <w:jc w:val="left"/>
        <w:rPr>
          <w:rFonts w:hint="eastAsia" w:ascii="仿宋_GB2312" w:hAnsi="宋体" w:eastAsia="仿宋_GB2312" w:cs="Times New Roman"/>
          <w:szCs w:val="24"/>
          <w:u w:val="single"/>
        </w:rPr>
      </w:pPr>
    </w:p>
    <w:p w14:paraId="56CC650A">
      <w:pPr>
        <w:spacing w:line="360" w:lineRule="auto"/>
        <w:ind w:firstLine="480"/>
        <w:jc w:val="left"/>
        <w:rPr>
          <w:rFonts w:hint="eastAsia" w:ascii="宋体" w:hAnsi="宋体" w:cs="Times New Roman"/>
          <w:szCs w:val="24"/>
          <w:u w:val="single"/>
        </w:rPr>
      </w:pPr>
    </w:p>
    <w:p w14:paraId="7A4D1C60">
      <w:pPr>
        <w:spacing w:line="360" w:lineRule="auto"/>
        <w:ind w:firstLine="480"/>
        <w:jc w:val="left"/>
        <w:rPr>
          <w:rFonts w:hint="eastAsia" w:ascii="宋体" w:hAnsi="宋体" w:cs="Times New Roman"/>
          <w:szCs w:val="24"/>
          <w:u w:val="single"/>
        </w:rPr>
      </w:pPr>
    </w:p>
    <w:p w14:paraId="7A82E56E">
      <w:pPr>
        <w:widowControl/>
        <w:spacing w:line="360" w:lineRule="auto"/>
        <w:ind w:firstLine="0" w:firstLineChars="0"/>
        <w:jc w:val="left"/>
        <w:rPr>
          <w:rFonts w:hint="eastAsia" w:ascii="仿宋_GB2312" w:hAnsi="宋体" w:eastAsia="仿宋_GB2312" w:cs="Times New Roman"/>
          <w:kern w:val="0"/>
          <w:szCs w:val="24"/>
        </w:rPr>
      </w:pPr>
      <w:r>
        <w:rPr>
          <w:rFonts w:hint="eastAsia" w:ascii="仿宋_GB2312" w:hAnsi="宋体" w:eastAsia="仿宋_GB2312" w:cs="Times New Roman"/>
          <w:kern w:val="0"/>
          <w:szCs w:val="24"/>
        </w:rPr>
        <w:t>附件5：</w:t>
      </w:r>
    </w:p>
    <w:p w14:paraId="7422C298">
      <w:pPr>
        <w:widowControl/>
        <w:spacing w:line="360" w:lineRule="auto"/>
        <w:ind w:firstLine="643"/>
        <w:jc w:val="center"/>
        <w:rPr>
          <w:rFonts w:ascii="仿宋_GB2312" w:hAnsi="宋体" w:eastAsia="仿宋_GB2312"/>
          <w:b/>
          <w:bCs/>
          <w:sz w:val="32"/>
          <w:szCs w:val="32"/>
        </w:rPr>
      </w:pPr>
      <w:r>
        <w:rPr>
          <w:rFonts w:hint="eastAsia" w:ascii="仿宋_GB2312" w:hAnsi="宋体" w:eastAsia="仿宋_GB2312"/>
          <w:b/>
          <w:bCs/>
          <w:sz w:val="32"/>
          <w:szCs w:val="32"/>
        </w:rPr>
        <w:t>报价单</w:t>
      </w:r>
    </w:p>
    <w:tbl>
      <w:tblPr>
        <w:tblStyle w:val="14"/>
        <w:tblW w:w="9525"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1387"/>
        <w:gridCol w:w="2190"/>
        <w:gridCol w:w="1980"/>
        <w:gridCol w:w="2205"/>
      </w:tblGrid>
      <w:tr w14:paraId="6683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tcPr>
          <w:p w14:paraId="33E6E9EC">
            <w:pPr>
              <w:widowControl/>
              <w:ind w:left="0" w:leftChars="0" w:firstLine="0" w:firstLineChars="0"/>
              <w:jc w:val="center"/>
              <w:rPr>
                <w:rFonts w:hint="default"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项目名称</w:t>
            </w:r>
          </w:p>
        </w:tc>
        <w:tc>
          <w:tcPr>
            <w:tcW w:w="1387" w:type="dxa"/>
          </w:tcPr>
          <w:p w14:paraId="7994BC4C">
            <w:pPr>
              <w:widowControl/>
              <w:ind w:left="0" w:leftChars="0" w:firstLine="0" w:firstLineChars="0"/>
              <w:jc w:val="center"/>
              <w:rPr>
                <w:rFonts w:hint="eastAsia"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车位数</w:t>
            </w:r>
          </w:p>
        </w:tc>
        <w:tc>
          <w:tcPr>
            <w:tcW w:w="2190" w:type="dxa"/>
          </w:tcPr>
          <w:p w14:paraId="1B5BBC0A">
            <w:pPr>
              <w:widowControl/>
              <w:ind w:left="0" w:leftChars="0" w:firstLine="0" w:firstLineChars="0"/>
              <w:jc w:val="center"/>
              <w:rPr>
                <w:rFonts w:hint="eastAsia"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单价（元/车位/月）</w:t>
            </w:r>
          </w:p>
        </w:tc>
        <w:tc>
          <w:tcPr>
            <w:tcW w:w="1980" w:type="dxa"/>
          </w:tcPr>
          <w:p w14:paraId="45F5C9DC">
            <w:pPr>
              <w:widowControl/>
              <w:ind w:left="0" w:leftChars="0" w:firstLine="0" w:firstLineChars="0"/>
              <w:jc w:val="center"/>
              <w:rPr>
                <w:rFonts w:hint="eastAsia"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月总服务费（元）</w:t>
            </w:r>
          </w:p>
        </w:tc>
        <w:tc>
          <w:tcPr>
            <w:tcW w:w="2205" w:type="dxa"/>
          </w:tcPr>
          <w:p w14:paraId="7AEEE242">
            <w:pPr>
              <w:widowControl/>
              <w:ind w:left="0" w:leftChars="0" w:firstLine="0" w:firstLineChars="0"/>
              <w:jc w:val="center"/>
              <w:rPr>
                <w:rFonts w:hint="default"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两年总服务费（元）</w:t>
            </w:r>
          </w:p>
        </w:tc>
      </w:tr>
      <w:tr w14:paraId="0200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763" w:type="dxa"/>
          </w:tcPr>
          <w:p w14:paraId="2B5891C9">
            <w:pPr>
              <w:widowControl/>
              <w:ind w:left="0" w:leftChars="0" w:firstLine="0" w:firstLineChars="0"/>
              <w:jc w:val="center"/>
              <w:rPr>
                <w:rFonts w:hint="default"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深圳书城龙华城2026年9月10日-2028年9月9日智能车库维保项目</w:t>
            </w:r>
          </w:p>
        </w:tc>
        <w:tc>
          <w:tcPr>
            <w:tcW w:w="1387" w:type="dxa"/>
            <w:vAlign w:val="center"/>
          </w:tcPr>
          <w:p w14:paraId="2BF0A5FA">
            <w:pPr>
              <w:widowControl/>
              <w:ind w:left="0" w:leftChars="0" w:firstLine="0" w:firstLineChars="0"/>
              <w:jc w:val="center"/>
              <w:rPr>
                <w:rFonts w:hint="default" w:ascii="仿宋" w:hAnsi="仿宋" w:eastAsia="仿宋"/>
                <w:b/>
                <w:color w:val="000000" w:themeColor="text1"/>
                <w:vertAlign w:val="baseline"/>
                <w:lang w:val="en-US" w:eastAsia="zh-CN"/>
                <w14:textFill>
                  <w14:solidFill>
                    <w14:schemeClr w14:val="tx1"/>
                  </w14:solidFill>
                </w14:textFill>
              </w:rPr>
            </w:pPr>
            <w:r>
              <w:rPr>
                <w:rFonts w:hint="eastAsia" w:ascii="仿宋" w:hAnsi="仿宋" w:eastAsia="仿宋"/>
                <w:b/>
                <w:color w:val="000000" w:themeColor="text1"/>
                <w:vertAlign w:val="baseline"/>
                <w:lang w:val="en-US" w:eastAsia="zh-CN"/>
                <w14:textFill>
                  <w14:solidFill>
                    <w14:schemeClr w14:val="tx1"/>
                  </w14:solidFill>
                </w14:textFill>
              </w:rPr>
              <w:t>204</w:t>
            </w:r>
          </w:p>
        </w:tc>
        <w:tc>
          <w:tcPr>
            <w:tcW w:w="2190" w:type="dxa"/>
            <w:vAlign w:val="center"/>
          </w:tcPr>
          <w:p w14:paraId="09B1AE31">
            <w:pPr>
              <w:widowControl/>
              <w:ind w:left="0" w:leftChars="0" w:firstLine="0" w:firstLineChars="0"/>
              <w:jc w:val="center"/>
              <w:rPr>
                <w:rFonts w:hint="default" w:ascii="仿宋" w:hAnsi="仿宋" w:eastAsia="仿宋"/>
                <w:b/>
                <w:color w:val="000000" w:themeColor="text1"/>
                <w:vertAlign w:val="baseline"/>
                <w:lang w:val="en-US" w:eastAsia="zh-CN"/>
                <w14:textFill>
                  <w14:solidFill>
                    <w14:schemeClr w14:val="tx1"/>
                  </w14:solidFill>
                </w14:textFill>
              </w:rPr>
            </w:pPr>
          </w:p>
        </w:tc>
        <w:tc>
          <w:tcPr>
            <w:tcW w:w="1980" w:type="dxa"/>
            <w:vAlign w:val="center"/>
          </w:tcPr>
          <w:p w14:paraId="2F973D05">
            <w:pPr>
              <w:widowControl/>
              <w:ind w:left="0" w:leftChars="0" w:firstLine="0" w:firstLineChars="0"/>
              <w:jc w:val="center"/>
              <w:rPr>
                <w:rFonts w:ascii="仿宋" w:hAnsi="仿宋" w:eastAsia="仿宋"/>
                <w:b/>
                <w:color w:val="000000" w:themeColor="text1"/>
                <w:vertAlign w:val="baseline"/>
                <w14:textFill>
                  <w14:solidFill>
                    <w14:schemeClr w14:val="tx1"/>
                  </w14:solidFill>
                </w14:textFill>
              </w:rPr>
            </w:pPr>
          </w:p>
        </w:tc>
        <w:tc>
          <w:tcPr>
            <w:tcW w:w="2205" w:type="dxa"/>
            <w:vAlign w:val="center"/>
          </w:tcPr>
          <w:p w14:paraId="1A5950AD">
            <w:pPr>
              <w:widowControl/>
              <w:ind w:left="0" w:leftChars="0" w:firstLine="0" w:firstLineChars="0"/>
              <w:jc w:val="center"/>
              <w:rPr>
                <w:rFonts w:ascii="仿宋" w:hAnsi="仿宋" w:eastAsia="仿宋"/>
                <w:b/>
                <w:color w:val="000000" w:themeColor="text1"/>
                <w:vertAlign w:val="baseline"/>
                <w14:textFill>
                  <w14:solidFill>
                    <w14:schemeClr w14:val="tx1"/>
                  </w14:solidFill>
                </w14:textFill>
              </w:rPr>
            </w:pPr>
          </w:p>
        </w:tc>
      </w:tr>
    </w:tbl>
    <w:p w14:paraId="4357B790">
      <w:pPr>
        <w:widowControl/>
        <w:ind w:firstLine="482"/>
        <w:jc w:val="left"/>
        <w:rPr>
          <w:rFonts w:hint="eastAsia" w:ascii="仿宋" w:hAnsi="仿宋" w:eastAsia="仿宋"/>
          <w:b/>
          <w:color w:val="000000" w:themeColor="text1"/>
          <w14:textFill>
            <w14:solidFill>
              <w14:schemeClr w14:val="tx1"/>
            </w14:solidFill>
          </w14:textFill>
        </w:rPr>
      </w:pPr>
    </w:p>
    <w:p w14:paraId="28A9CB1A">
      <w:pPr>
        <w:widowControl/>
        <w:ind w:firstLine="482"/>
        <w:jc w:val="left"/>
        <w:rPr>
          <w:rFonts w:hint="eastAsia" w:ascii="仿宋" w:hAnsi="仿宋" w:eastAsia="仿宋"/>
          <w:b/>
          <w:color w:val="000000" w:themeColor="text1"/>
          <w14:textFill>
            <w14:solidFill>
              <w14:schemeClr w14:val="tx1"/>
            </w14:solidFill>
          </w14:textFill>
        </w:rPr>
      </w:pPr>
    </w:p>
    <w:p w14:paraId="7589FE7C">
      <w:pPr>
        <w:widowControl/>
        <w:ind w:firstLine="482"/>
        <w:jc w:val="left"/>
        <w:rPr>
          <w:rFonts w:hint="eastAsia" w:ascii="仿宋" w:hAnsi="仿宋" w:eastAsia="仿宋"/>
          <w:b/>
          <w:color w:val="000000" w:themeColor="text1"/>
          <w14:textFill>
            <w14:solidFill>
              <w14:schemeClr w14:val="tx1"/>
            </w14:solidFill>
          </w14:textFill>
        </w:rPr>
      </w:pPr>
    </w:p>
    <w:p w14:paraId="2471E9E0">
      <w:pPr>
        <w:widowControl/>
        <w:ind w:firstLine="482"/>
        <w:jc w:val="left"/>
        <w:rPr>
          <w:rFonts w:hint="eastAsia" w:ascii="仿宋" w:hAnsi="仿宋" w:eastAsia="仿宋"/>
          <w:b/>
          <w:color w:val="000000" w:themeColor="text1"/>
          <w14:textFill>
            <w14:solidFill>
              <w14:schemeClr w14:val="tx1"/>
            </w14:solidFill>
          </w14:textFill>
        </w:rPr>
      </w:pPr>
    </w:p>
    <w:p w14:paraId="1302984A">
      <w:pPr>
        <w:widowControl/>
        <w:ind w:firstLine="482"/>
        <w:jc w:val="left"/>
        <w:rPr>
          <w:rFonts w:hint="eastAsia" w:ascii="仿宋" w:hAnsi="仿宋" w:eastAsia="仿宋"/>
          <w:b/>
          <w:color w:val="000000" w:themeColor="text1"/>
          <w14:textFill>
            <w14:solidFill>
              <w14:schemeClr w14:val="tx1"/>
            </w14:solidFill>
          </w14:textFill>
        </w:rPr>
      </w:pPr>
    </w:p>
    <w:p w14:paraId="14E16928">
      <w:pPr>
        <w:tabs>
          <w:tab w:val="left" w:pos="1862"/>
        </w:tabs>
        <w:adjustRightInd w:val="0"/>
        <w:snapToGrid w:val="0"/>
        <w:rPr>
          <w:rFonts w:hint="eastAsia" w:ascii="仿宋" w:hAnsi="仿宋" w:eastAsia="仿宋" w:cstheme="majorBidi"/>
          <w:color w:val="000000" w:themeColor="text1"/>
          <w:sz w:val="28"/>
          <w:szCs w:val="28"/>
          <w14:textFill>
            <w14:solidFill>
              <w14:schemeClr w14:val="tx1"/>
            </w14:solidFill>
          </w14:textFill>
        </w:rPr>
      </w:pPr>
    </w:p>
    <w:p w14:paraId="268BECAA">
      <w:pPr>
        <w:widowControl/>
        <w:spacing w:line="360" w:lineRule="auto"/>
        <w:ind w:firstLine="0" w:firstLineChars="0"/>
        <w:jc w:val="left"/>
        <w:rPr>
          <w:rFonts w:hint="eastAsia" w:ascii="仿宋_GB2312" w:hAnsi="宋体" w:eastAsia="仿宋_GB2312" w:cs="Times New Roman"/>
          <w:kern w:val="0"/>
          <w:szCs w:val="24"/>
        </w:rPr>
      </w:pPr>
      <w:r>
        <w:rPr>
          <w:rFonts w:hint="eastAsia" w:ascii="仿宋_GB2312" w:hAnsi="宋体" w:eastAsia="仿宋_GB2312" w:cs="Times New Roman"/>
          <w:kern w:val="0"/>
          <w:szCs w:val="24"/>
        </w:rPr>
        <w:t>附件6：</w:t>
      </w:r>
    </w:p>
    <w:p w14:paraId="6102F406">
      <w:pPr>
        <w:tabs>
          <w:tab w:val="left" w:pos="1862"/>
        </w:tabs>
        <w:adjustRightInd w:val="0"/>
        <w:snapToGrid w:val="0"/>
        <w:rPr>
          <w:rFonts w:hint="eastAsia" w:ascii="仿宋" w:hAnsi="仿宋" w:eastAsia="仿宋" w:cstheme="majorBidi"/>
          <w:color w:val="000000" w:themeColor="text1"/>
          <w:sz w:val="28"/>
          <w:szCs w:val="28"/>
          <w14:textFill>
            <w14:solidFill>
              <w14:schemeClr w14:val="tx1"/>
            </w14:solidFill>
          </w14:textFill>
        </w:rPr>
      </w:pPr>
    </w:p>
    <w:p w14:paraId="495861D8">
      <w:pPr>
        <w:widowControl/>
        <w:spacing w:line="360" w:lineRule="auto"/>
        <w:ind w:firstLine="0" w:firstLineChars="0"/>
        <w:jc w:val="center"/>
        <w:rPr>
          <w:rFonts w:hint="eastAsia" w:ascii="仿宋_GB2312" w:hAnsi="宋体" w:eastAsia="仿宋_GB2312"/>
          <w:b/>
          <w:bCs/>
          <w:sz w:val="32"/>
          <w:szCs w:val="32"/>
        </w:rPr>
      </w:pPr>
      <w:bookmarkStart w:id="19" w:name="_Hlk161583364"/>
      <w:r>
        <w:rPr>
          <w:rFonts w:hint="eastAsia" w:ascii="仿宋_GB2312" w:hAnsi="宋体" w:eastAsia="仿宋_GB2312"/>
          <w:b/>
          <w:bCs/>
          <w:sz w:val="32"/>
          <w:szCs w:val="32"/>
        </w:rPr>
        <w:t>企业信息调查表</w:t>
      </w:r>
    </w:p>
    <w:tbl>
      <w:tblPr>
        <w:tblStyle w:val="13"/>
        <w:tblW w:w="10303" w:type="dxa"/>
        <w:jc w:val="center"/>
        <w:tblLayout w:type="autofit"/>
        <w:tblCellMar>
          <w:top w:w="0" w:type="dxa"/>
          <w:left w:w="108" w:type="dxa"/>
          <w:bottom w:w="0" w:type="dxa"/>
          <w:right w:w="108" w:type="dxa"/>
        </w:tblCellMar>
      </w:tblPr>
      <w:tblGrid>
        <w:gridCol w:w="876"/>
        <w:gridCol w:w="1103"/>
        <w:gridCol w:w="876"/>
        <w:gridCol w:w="876"/>
        <w:gridCol w:w="876"/>
        <w:gridCol w:w="1058"/>
        <w:gridCol w:w="709"/>
        <w:gridCol w:w="2087"/>
        <w:gridCol w:w="1842"/>
      </w:tblGrid>
      <w:tr w14:paraId="5E01BA73">
        <w:tblPrEx>
          <w:tblCellMar>
            <w:top w:w="0" w:type="dxa"/>
            <w:left w:w="108" w:type="dxa"/>
            <w:bottom w:w="0" w:type="dxa"/>
            <w:right w:w="108" w:type="dxa"/>
          </w:tblCellMar>
        </w:tblPrEx>
        <w:trPr>
          <w:trHeight w:val="118" w:hRule="atLeast"/>
          <w:jc w:val="center"/>
        </w:trPr>
        <w:tc>
          <w:tcPr>
            <w:tcW w:w="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AE893D">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序号</w:t>
            </w:r>
          </w:p>
        </w:tc>
        <w:tc>
          <w:tcPr>
            <w:tcW w:w="1103" w:type="dxa"/>
            <w:tcBorders>
              <w:top w:val="single" w:color="auto" w:sz="4" w:space="0"/>
              <w:left w:val="nil"/>
              <w:bottom w:val="single" w:color="auto" w:sz="4" w:space="0"/>
              <w:right w:val="single" w:color="auto" w:sz="4" w:space="0"/>
            </w:tcBorders>
            <w:shd w:val="clear" w:color="auto" w:fill="auto"/>
            <w:noWrap/>
            <w:vAlign w:val="center"/>
          </w:tcPr>
          <w:p w14:paraId="68D3C6F8">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公司名称</w:t>
            </w:r>
          </w:p>
        </w:tc>
        <w:tc>
          <w:tcPr>
            <w:tcW w:w="876" w:type="dxa"/>
            <w:tcBorders>
              <w:top w:val="single" w:color="auto" w:sz="4" w:space="0"/>
              <w:left w:val="nil"/>
              <w:bottom w:val="single" w:color="auto" w:sz="4" w:space="0"/>
              <w:right w:val="single" w:color="auto" w:sz="4" w:space="0"/>
            </w:tcBorders>
            <w:shd w:val="clear" w:color="auto" w:fill="auto"/>
            <w:noWrap/>
            <w:vAlign w:val="center"/>
          </w:tcPr>
          <w:p w14:paraId="1F8501D2">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法人</w:t>
            </w:r>
          </w:p>
        </w:tc>
        <w:tc>
          <w:tcPr>
            <w:tcW w:w="876" w:type="dxa"/>
            <w:tcBorders>
              <w:top w:val="single" w:color="auto" w:sz="4" w:space="0"/>
              <w:left w:val="nil"/>
              <w:bottom w:val="single" w:color="auto" w:sz="4" w:space="0"/>
              <w:right w:val="single" w:color="auto" w:sz="4" w:space="0"/>
            </w:tcBorders>
            <w:shd w:val="clear" w:color="auto" w:fill="auto"/>
            <w:noWrap/>
            <w:vAlign w:val="center"/>
          </w:tcPr>
          <w:p w14:paraId="4CA39414">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监事</w:t>
            </w:r>
          </w:p>
        </w:tc>
        <w:tc>
          <w:tcPr>
            <w:tcW w:w="876" w:type="dxa"/>
            <w:tcBorders>
              <w:top w:val="single" w:color="auto" w:sz="4" w:space="0"/>
              <w:left w:val="nil"/>
              <w:bottom w:val="single" w:color="auto" w:sz="4" w:space="0"/>
              <w:right w:val="single" w:color="auto" w:sz="4" w:space="0"/>
            </w:tcBorders>
            <w:shd w:val="clear" w:color="auto" w:fill="auto"/>
            <w:noWrap/>
            <w:vAlign w:val="center"/>
          </w:tcPr>
          <w:p w14:paraId="3A74A559">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董事</w:t>
            </w:r>
          </w:p>
        </w:tc>
        <w:tc>
          <w:tcPr>
            <w:tcW w:w="1058" w:type="dxa"/>
            <w:tcBorders>
              <w:top w:val="single" w:color="auto" w:sz="4" w:space="0"/>
              <w:left w:val="nil"/>
              <w:bottom w:val="single" w:color="auto" w:sz="4" w:space="0"/>
              <w:right w:val="single" w:color="auto" w:sz="4" w:space="0"/>
            </w:tcBorders>
            <w:shd w:val="clear" w:color="auto" w:fill="auto"/>
            <w:noWrap/>
            <w:vAlign w:val="center"/>
          </w:tcPr>
          <w:p w14:paraId="27F81842">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总经理</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73C7560B">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股东</w:t>
            </w:r>
          </w:p>
        </w:tc>
        <w:tc>
          <w:tcPr>
            <w:tcW w:w="2087" w:type="dxa"/>
            <w:tcBorders>
              <w:top w:val="single" w:color="auto" w:sz="4" w:space="0"/>
              <w:left w:val="nil"/>
              <w:bottom w:val="single" w:color="auto" w:sz="4" w:space="0"/>
              <w:right w:val="single" w:color="auto" w:sz="4" w:space="0"/>
            </w:tcBorders>
            <w:shd w:val="clear" w:color="auto" w:fill="auto"/>
            <w:vAlign w:val="center"/>
          </w:tcPr>
          <w:p w14:paraId="413CDB6F">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联系人及联系方式（业务经办人）</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6BAF97B">
            <w:pPr>
              <w:widowControl/>
              <w:spacing w:line="360" w:lineRule="exact"/>
              <w:ind w:firstLine="0" w:firstLineChars="0"/>
              <w:jc w:val="center"/>
              <w:rPr>
                <w:rFonts w:hint="eastAsia" w:ascii="宋体" w:hAnsi="宋体" w:cs="宋体"/>
                <w:color w:val="000000"/>
                <w:kern w:val="0"/>
                <w:sz w:val="22"/>
              </w:rPr>
            </w:pPr>
            <w:r>
              <w:rPr>
                <w:rFonts w:hint="eastAsia" w:ascii="宋体" w:hAnsi="宋体" w:cs="宋体"/>
                <w:color w:val="000000"/>
                <w:kern w:val="0"/>
                <w:sz w:val="22"/>
              </w:rPr>
              <w:t>公司注册地址</w:t>
            </w:r>
          </w:p>
        </w:tc>
      </w:tr>
      <w:tr w14:paraId="33FC1DC4">
        <w:tblPrEx>
          <w:tblCellMar>
            <w:top w:w="0" w:type="dxa"/>
            <w:left w:w="108" w:type="dxa"/>
            <w:bottom w:w="0" w:type="dxa"/>
            <w:right w:w="108" w:type="dxa"/>
          </w:tblCellMar>
        </w:tblPrEx>
        <w:trPr>
          <w:trHeight w:val="1619" w:hRule="atLeast"/>
          <w:jc w:val="center"/>
        </w:trPr>
        <w:tc>
          <w:tcPr>
            <w:tcW w:w="876" w:type="dxa"/>
            <w:tcBorders>
              <w:top w:val="nil"/>
              <w:left w:val="single" w:color="auto" w:sz="4" w:space="0"/>
              <w:bottom w:val="single" w:color="auto" w:sz="4" w:space="0"/>
              <w:right w:val="single" w:color="auto" w:sz="4" w:space="0"/>
            </w:tcBorders>
            <w:shd w:val="clear" w:color="auto" w:fill="auto"/>
            <w:noWrap/>
            <w:vAlign w:val="center"/>
          </w:tcPr>
          <w:p w14:paraId="035AB4A8">
            <w:pPr>
              <w:widowControl/>
              <w:ind w:firstLine="440"/>
              <w:jc w:val="center"/>
              <w:rPr>
                <w:rFonts w:hint="eastAsia" w:ascii="宋体" w:hAnsi="宋体" w:cs="宋体"/>
                <w:color w:val="000000"/>
                <w:kern w:val="0"/>
                <w:sz w:val="22"/>
              </w:rPr>
            </w:pPr>
            <w:r>
              <w:rPr>
                <w:rFonts w:hint="eastAsia" w:ascii="宋体" w:hAnsi="宋体" w:cs="宋体"/>
                <w:color w:val="000000"/>
                <w:kern w:val="0"/>
                <w:sz w:val="22"/>
              </w:rPr>
              <w:t>1</w:t>
            </w:r>
          </w:p>
        </w:tc>
        <w:tc>
          <w:tcPr>
            <w:tcW w:w="1103" w:type="dxa"/>
            <w:tcBorders>
              <w:top w:val="nil"/>
              <w:left w:val="nil"/>
              <w:bottom w:val="single" w:color="auto" w:sz="4" w:space="0"/>
              <w:right w:val="single" w:color="auto" w:sz="4" w:space="0"/>
            </w:tcBorders>
            <w:shd w:val="clear" w:color="auto" w:fill="auto"/>
            <w:noWrap/>
            <w:vAlign w:val="center"/>
          </w:tcPr>
          <w:p w14:paraId="49D15391">
            <w:pPr>
              <w:widowControl/>
              <w:ind w:firstLine="440"/>
              <w:jc w:val="center"/>
              <w:rPr>
                <w:rFonts w:hint="eastAsia"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noWrap/>
            <w:vAlign w:val="center"/>
          </w:tcPr>
          <w:p w14:paraId="7E7FC6E7">
            <w:pPr>
              <w:widowControl/>
              <w:ind w:firstLine="440"/>
              <w:jc w:val="center"/>
              <w:rPr>
                <w:rFonts w:hint="eastAsia"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noWrap/>
            <w:vAlign w:val="center"/>
          </w:tcPr>
          <w:p w14:paraId="06FE74F9">
            <w:pPr>
              <w:widowControl/>
              <w:ind w:firstLine="440"/>
              <w:jc w:val="center"/>
              <w:rPr>
                <w:rFonts w:hint="eastAsia"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noWrap/>
            <w:vAlign w:val="center"/>
          </w:tcPr>
          <w:p w14:paraId="6ADA1B0B">
            <w:pPr>
              <w:widowControl/>
              <w:ind w:firstLine="440"/>
              <w:jc w:val="center"/>
              <w:rPr>
                <w:rFonts w:hint="eastAsia" w:ascii="宋体" w:hAnsi="宋体" w:cs="宋体"/>
                <w:color w:val="000000"/>
                <w:kern w:val="0"/>
                <w:sz w:val="22"/>
              </w:rPr>
            </w:pPr>
          </w:p>
        </w:tc>
        <w:tc>
          <w:tcPr>
            <w:tcW w:w="1058" w:type="dxa"/>
            <w:tcBorders>
              <w:top w:val="nil"/>
              <w:left w:val="nil"/>
              <w:bottom w:val="single" w:color="auto" w:sz="4" w:space="0"/>
              <w:right w:val="single" w:color="auto" w:sz="4" w:space="0"/>
            </w:tcBorders>
            <w:shd w:val="clear" w:color="auto" w:fill="auto"/>
            <w:noWrap/>
            <w:vAlign w:val="center"/>
          </w:tcPr>
          <w:p w14:paraId="4C4C63BD">
            <w:pPr>
              <w:widowControl/>
              <w:ind w:firstLine="440"/>
              <w:jc w:val="center"/>
              <w:rPr>
                <w:rFonts w:hint="eastAsia"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auto" w:fill="auto"/>
            <w:noWrap/>
            <w:vAlign w:val="center"/>
          </w:tcPr>
          <w:p w14:paraId="299B357C">
            <w:pPr>
              <w:widowControl/>
              <w:ind w:firstLine="440"/>
              <w:jc w:val="center"/>
              <w:rPr>
                <w:rFonts w:hint="eastAsia" w:ascii="宋体" w:hAnsi="宋体" w:cs="宋体"/>
                <w:color w:val="000000"/>
                <w:kern w:val="0"/>
                <w:sz w:val="22"/>
              </w:rPr>
            </w:pPr>
          </w:p>
        </w:tc>
        <w:tc>
          <w:tcPr>
            <w:tcW w:w="2087" w:type="dxa"/>
            <w:tcBorders>
              <w:top w:val="nil"/>
              <w:left w:val="nil"/>
              <w:bottom w:val="single" w:color="auto" w:sz="4" w:space="0"/>
              <w:right w:val="single" w:color="auto" w:sz="4" w:space="0"/>
            </w:tcBorders>
            <w:shd w:val="clear" w:color="auto" w:fill="auto"/>
            <w:noWrap/>
            <w:vAlign w:val="center"/>
          </w:tcPr>
          <w:p w14:paraId="425F9822">
            <w:pPr>
              <w:widowControl/>
              <w:ind w:firstLine="440"/>
              <w:jc w:val="center"/>
              <w:rPr>
                <w:rFonts w:hint="eastAsia" w:ascii="宋体" w:hAnsi="宋体" w:cs="宋体"/>
                <w:color w:val="000000"/>
                <w:kern w:val="0"/>
                <w:sz w:val="22"/>
              </w:rPr>
            </w:pPr>
          </w:p>
        </w:tc>
        <w:tc>
          <w:tcPr>
            <w:tcW w:w="1842" w:type="dxa"/>
            <w:tcBorders>
              <w:top w:val="nil"/>
              <w:left w:val="nil"/>
              <w:bottom w:val="single" w:color="auto" w:sz="4" w:space="0"/>
              <w:right w:val="single" w:color="auto" w:sz="4" w:space="0"/>
            </w:tcBorders>
            <w:shd w:val="clear" w:color="auto" w:fill="auto"/>
            <w:noWrap/>
            <w:vAlign w:val="center"/>
          </w:tcPr>
          <w:p w14:paraId="685C3221">
            <w:pPr>
              <w:widowControl/>
              <w:ind w:firstLine="440"/>
              <w:jc w:val="center"/>
              <w:rPr>
                <w:rFonts w:hint="eastAsia" w:ascii="宋体" w:hAnsi="宋体" w:cs="宋体"/>
                <w:color w:val="000000"/>
                <w:kern w:val="0"/>
                <w:sz w:val="22"/>
              </w:rPr>
            </w:pPr>
          </w:p>
        </w:tc>
      </w:tr>
    </w:tbl>
    <w:p w14:paraId="6A0EB2C1">
      <w:pPr>
        <w:tabs>
          <w:tab w:val="left" w:pos="1862"/>
        </w:tabs>
        <w:adjustRightInd w:val="0"/>
        <w:snapToGrid w:val="0"/>
        <w:jc w:val="center"/>
        <w:rPr>
          <w:rFonts w:hint="eastAsia" w:ascii="仿宋" w:hAnsi="仿宋" w:eastAsia="仿宋" w:cstheme="majorBidi"/>
          <w:color w:val="000000" w:themeColor="text1"/>
          <w:sz w:val="28"/>
          <w:szCs w:val="28"/>
          <w14:textFill>
            <w14:solidFill>
              <w14:schemeClr w14:val="tx1"/>
            </w14:solidFill>
          </w14:textFill>
        </w:rPr>
      </w:pPr>
    </w:p>
    <w:bookmarkEnd w:id="19"/>
    <w:p w14:paraId="50EC8C0D">
      <w:pPr>
        <w:adjustRightInd w:val="0"/>
        <w:snapToGrid w:val="0"/>
        <w:ind w:firstLine="482"/>
        <w:jc w:val="left"/>
        <w:rPr>
          <w:rFonts w:hint="eastAsia" w:ascii="仿宋" w:hAnsi="仿宋" w:eastAsia="仿宋"/>
          <w:b/>
          <w:color w:val="000000" w:themeColor="text1"/>
          <w14:textFill>
            <w14:solidFill>
              <w14:schemeClr w14:val="tx1"/>
            </w14:solidFill>
          </w14:textFill>
        </w:rPr>
      </w:pPr>
    </w:p>
    <w:p w14:paraId="4BC3A846">
      <w:pPr>
        <w:widowControl/>
        <w:spacing w:line="360" w:lineRule="auto"/>
        <w:ind w:firstLine="0" w:firstLineChars="0"/>
        <w:jc w:val="left"/>
        <w:rPr>
          <w:rFonts w:hint="eastAsia"/>
          <w:highlight w:val="none"/>
        </w:rPr>
      </w:pPr>
      <w:r>
        <w:rPr>
          <w:rFonts w:hint="eastAsia" w:ascii="仿宋_GB2312" w:hAnsi="宋体" w:eastAsia="仿宋_GB2312" w:cs="Times New Roman"/>
          <w:kern w:val="0"/>
          <w:szCs w:val="24"/>
          <w:highlight w:val="none"/>
        </w:rPr>
        <w:t>附件</w:t>
      </w:r>
      <w:r>
        <w:rPr>
          <w:rFonts w:hint="eastAsia" w:ascii="仿宋_GB2312" w:hAnsi="宋体" w:eastAsia="仿宋_GB2312" w:cs="Times New Roman"/>
          <w:kern w:val="0"/>
          <w:szCs w:val="24"/>
          <w:highlight w:val="none"/>
          <w:lang w:val="en-US" w:eastAsia="zh-CN"/>
        </w:rPr>
        <w:t>7</w:t>
      </w:r>
      <w:r>
        <w:rPr>
          <w:rFonts w:hint="eastAsia" w:ascii="仿宋_GB2312" w:hAnsi="宋体" w:eastAsia="仿宋_GB2312" w:cs="Times New Roman"/>
          <w:kern w:val="0"/>
          <w:szCs w:val="24"/>
          <w:highlight w:val="none"/>
        </w:rPr>
        <w:t>：</w:t>
      </w:r>
    </w:p>
    <w:p w14:paraId="4B22699E">
      <w:pPr>
        <w:widowControl/>
        <w:kinsoku w:val="0"/>
        <w:autoSpaceDE w:val="0"/>
        <w:autoSpaceDN w:val="0"/>
        <w:adjustRightInd w:val="0"/>
        <w:snapToGrid w:val="0"/>
        <w:spacing w:before="102" w:line="219" w:lineRule="auto"/>
        <w:ind w:left="2821" w:firstLine="0" w:firstLineChars="0"/>
        <w:jc w:val="left"/>
        <w:textAlignment w:val="baseline"/>
        <w:rPr>
          <w:rFonts w:ascii="宋体" w:hAnsi="宋体" w:eastAsia="宋体" w:cs="宋体"/>
          <w:snapToGrid w:val="0"/>
          <w:color w:val="000000"/>
          <w:kern w:val="0"/>
          <w:sz w:val="43"/>
          <w:szCs w:val="43"/>
          <w:lang w:eastAsia="en-US"/>
        </w:rPr>
      </w:pPr>
      <w:r>
        <w:rPr>
          <w:rFonts w:ascii="宋体" w:hAnsi="宋体" w:eastAsia="宋体" w:cs="宋体"/>
          <w:b/>
          <w:bCs/>
          <w:snapToGrid w:val="0"/>
          <w:color w:val="000000"/>
          <w:spacing w:val="-7"/>
          <w:kern w:val="0"/>
          <w:sz w:val="43"/>
          <w:szCs w:val="43"/>
          <w:lang w:eastAsia="en-US"/>
        </w:rPr>
        <w:t>供应商基本情况表</w:t>
      </w:r>
    </w:p>
    <w:p w14:paraId="6D2B1C7B">
      <w:pPr>
        <w:widowControl/>
        <w:kinsoku w:val="0"/>
        <w:autoSpaceDE w:val="0"/>
        <w:autoSpaceDN w:val="0"/>
        <w:adjustRightInd w:val="0"/>
        <w:snapToGrid w:val="0"/>
        <w:spacing w:before="278" w:line="223" w:lineRule="auto"/>
        <w:ind w:left="154" w:firstLine="0" w:firstLineChars="0"/>
        <w:jc w:val="left"/>
        <w:textAlignment w:val="baseline"/>
        <w:rPr>
          <w:rFonts w:ascii="黑体" w:hAnsi="黑体" w:eastAsia="黑体" w:cs="黑体"/>
          <w:snapToGrid w:val="0"/>
          <w:color w:val="000000"/>
          <w:kern w:val="0"/>
          <w:sz w:val="22"/>
          <w:szCs w:val="22"/>
          <w:lang w:eastAsia="en-US"/>
        </w:rPr>
      </w:pPr>
      <w:r>
        <w:rPr>
          <w:rFonts w:ascii="黑体" w:hAnsi="黑体" w:eastAsia="黑体" w:cs="黑体"/>
          <w:snapToGrid w:val="0"/>
          <w:color w:val="000000"/>
          <w:spacing w:val="4"/>
          <w:kern w:val="0"/>
          <w:sz w:val="22"/>
          <w:szCs w:val="22"/>
          <w:lang w:eastAsia="en-US"/>
        </w:rPr>
        <w:t>填表单位：(加盖单位公章)        填表日期：</w:t>
      </w:r>
      <w:r>
        <w:rPr>
          <w:rFonts w:ascii="黑体" w:hAnsi="黑体" w:eastAsia="黑体" w:cs="黑体"/>
          <w:snapToGrid w:val="0"/>
          <w:color w:val="000000"/>
          <w:spacing w:val="22"/>
          <w:kern w:val="0"/>
          <w:sz w:val="22"/>
          <w:szCs w:val="22"/>
          <w:lang w:eastAsia="en-US"/>
        </w:rPr>
        <w:t xml:space="preserve">   </w:t>
      </w:r>
      <w:r>
        <w:rPr>
          <w:rFonts w:ascii="黑体" w:hAnsi="黑体" w:eastAsia="黑体" w:cs="黑体"/>
          <w:snapToGrid w:val="0"/>
          <w:color w:val="000000"/>
          <w:spacing w:val="4"/>
          <w:kern w:val="0"/>
          <w:sz w:val="22"/>
          <w:szCs w:val="22"/>
          <w:lang w:eastAsia="en-US"/>
        </w:rPr>
        <w:t>年   月   日</w:t>
      </w:r>
    </w:p>
    <w:p w14:paraId="0BC44616">
      <w:pPr>
        <w:widowControl/>
        <w:kinsoku w:val="0"/>
        <w:autoSpaceDE w:val="0"/>
        <w:autoSpaceDN w:val="0"/>
        <w:adjustRightInd w:val="0"/>
        <w:snapToGrid w:val="0"/>
        <w:spacing w:line="121" w:lineRule="exact"/>
        <w:ind w:firstLine="0" w:firstLineChars="0"/>
        <w:jc w:val="left"/>
        <w:textAlignment w:val="baseline"/>
        <w:rPr>
          <w:rFonts w:ascii="Arial" w:hAnsi="Arial" w:eastAsia="Arial" w:cs="Arial"/>
          <w:snapToGrid w:val="0"/>
          <w:color w:val="000000"/>
          <w:kern w:val="0"/>
          <w:sz w:val="21"/>
          <w:szCs w:val="21"/>
          <w:lang w:eastAsia="en-US"/>
        </w:rPr>
      </w:pPr>
    </w:p>
    <w:tbl>
      <w:tblPr>
        <w:tblStyle w:val="25"/>
        <w:tblW w:w="88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79"/>
        <w:gridCol w:w="1588"/>
        <w:gridCol w:w="929"/>
        <w:gridCol w:w="799"/>
        <w:gridCol w:w="1189"/>
        <w:gridCol w:w="1488"/>
        <w:gridCol w:w="1489"/>
      </w:tblGrid>
      <w:tr w14:paraId="1B937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3" w:type="dxa"/>
            <w:gridSpan w:val="2"/>
            <w:vAlign w:val="top"/>
          </w:tcPr>
          <w:p w14:paraId="170190C7">
            <w:pPr>
              <w:kinsoku w:val="0"/>
              <w:autoSpaceDE w:val="0"/>
              <w:autoSpaceDN w:val="0"/>
              <w:adjustRightInd w:val="0"/>
              <w:snapToGrid w:val="0"/>
              <w:spacing w:before="72" w:line="219" w:lineRule="auto"/>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采购人</w:t>
            </w:r>
          </w:p>
        </w:tc>
        <w:tc>
          <w:tcPr>
            <w:tcW w:w="2517" w:type="dxa"/>
            <w:gridSpan w:val="2"/>
            <w:vAlign w:val="top"/>
          </w:tcPr>
          <w:p w14:paraId="4EA341CD">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68623E0F">
            <w:pPr>
              <w:kinsoku w:val="0"/>
              <w:autoSpaceDE w:val="0"/>
              <w:autoSpaceDN w:val="0"/>
              <w:adjustRightInd w:val="0"/>
              <w:snapToGrid w:val="0"/>
              <w:spacing w:before="75" w:line="220" w:lineRule="auto"/>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项目名称</w:t>
            </w:r>
          </w:p>
        </w:tc>
        <w:tc>
          <w:tcPr>
            <w:tcW w:w="2977" w:type="dxa"/>
            <w:gridSpan w:val="2"/>
            <w:vAlign w:val="top"/>
          </w:tcPr>
          <w:p w14:paraId="0E875842">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36FFE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403" w:type="dxa"/>
            <w:gridSpan w:val="2"/>
            <w:vAlign w:val="top"/>
          </w:tcPr>
          <w:p w14:paraId="3E089C92">
            <w:pPr>
              <w:kinsoku w:val="0"/>
              <w:autoSpaceDE w:val="0"/>
              <w:autoSpaceDN w:val="0"/>
              <w:adjustRightInd w:val="0"/>
              <w:snapToGrid w:val="0"/>
              <w:spacing w:before="269" w:line="219"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3"/>
                <w:kern w:val="0"/>
                <w:sz w:val="23"/>
                <w:szCs w:val="23"/>
                <w:lang w:val="en-US" w:eastAsia="en-US" w:bidi="ar-SA"/>
              </w:rPr>
              <w:t>响应供应商</w:t>
            </w:r>
          </w:p>
        </w:tc>
        <w:tc>
          <w:tcPr>
            <w:tcW w:w="2517" w:type="dxa"/>
            <w:gridSpan w:val="2"/>
            <w:vAlign w:val="top"/>
          </w:tcPr>
          <w:p w14:paraId="209424A5">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40F535BC">
            <w:pPr>
              <w:kinsoku w:val="0"/>
              <w:autoSpaceDE w:val="0"/>
              <w:autoSpaceDN w:val="0"/>
              <w:adjustRightInd w:val="0"/>
              <w:snapToGrid w:val="0"/>
              <w:spacing w:before="88" w:line="265" w:lineRule="auto"/>
              <w:ind w:left="0" w:leftChars="0" w:right="56"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供应商统一社会信</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3"/>
                <w:kern w:val="0"/>
                <w:sz w:val="23"/>
                <w:szCs w:val="23"/>
                <w:lang w:val="en-US" w:eastAsia="en-US" w:bidi="ar-SA"/>
              </w:rPr>
              <w:t>用代码</w:t>
            </w:r>
          </w:p>
        </w:tc>
        <w:tc>
          <w:tcPr>
            <w:tcW w:w="2977" w:type="dxa"/>
            <w:gridSpan w:val="2"/>
            <w:vAlign w:val="top"/>
          </w:tcPr>
          <w:p w14:paraId="05FD86D5">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6CED5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8885" w:type="dxa"/>
            <w:gridSpan w:val="8"/>
            <w:vAlign w:val="top"/>
          </w:tcPr>
          <w:p w14:paraId="1EF011C4">
            <w:pPr>
              <w:kinsoku w:val="0"/>
              <w:autoSpaceDE w:val="0"/>
              <w:autoSpaceDN w:val="0"/>
              <w:adjustRightInd w:val="0"/>
              <w:snapToGrid w:val="0"/>
              <w:spacing w:before="66" w:line="219" w:lineRule="auto"/>
              <w:ind w:left="3258"/>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b/>
                <w:bCs/>
                <w:snapToGrid w:val="0"/>
                <w:color w:val="000000"/>
                <w:spacing w:val="-3"/>
                <w:kern w:val="0"/>
                <w:sz w:val="23"/>
                <w:szCs w:val="23"/>
                <w:lang w:val="en-US" w:eastAsia="en-US" w:bidi="ar-SA"/>
              </w:rPr>
              <w:t>响应供应商相关人员情况</w:t>
            </w:r>
          </w:p>
        </w:tc>
      </w:tr>
      <w:tr w14:paraId="6ABB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724" w:type="dxa"/>
            <w:vAlign w:val="top"/>
          </w:tcPr>
          <w:p w14:paraId="5F08B3BB">
            <w:pPr>
              <w:kinsoku w:val="0"/>
              <w:autoSpaceDE w:val="0"/>
              <w:autoSpaceDN w:val="0"/>
              <w:adjustRightInd w:val="0"/>
              <w:snapToGrid w:val="0"/>
              <w:spacing w:before="262" w:line="221"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7"/>
                <w:kern w:val="0"/>
                <w:sz w:val="23"/>
                <w:szCs w:val="23"/>
                <w:lang w:val="en-US" w:eastAsia="en-US" w:bidi="ar-SA"/>
              </w:rPr>
              <w:t>序号</w:t>
            </w:r>
          </w:p>
        </w:tc>
        <w:tc>
          <w:tcPr>
            <w:tcW w:w="2267" w:type="dxa"/>
            <w:gridSpan w:val="2"/>
            <w:vAlign w:val="top"/>
          </w:tcPr>
          <w:p w14:paraId="76555634">
            <w:pPr>
              <w:kinsoku w:val="0"/>
              <w:autoSpaceDE w:val="0"/>
              <w:autoSpaceDN w:val="0"/>
              <w:adjustRightInd w:val="0"/>
              <w:snapToGrid w:val="0"/>
              <w:spacing w:before="261" w:line="219" w:lineRule="auto"/>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5"/>
                <w:kern w:val="0"/>
                <w:sz w:val="23"/>
                <w:szCs w:val="23"/>
                <w:lang w:val="en-US" w:eastAsia="en-US" w:bidi="ar-SA"/>
              </w:rPr>
              <w:t>职务</w:t>
            </w:r>
          </w:p>
        </w:tc>
        <w:tc>
          <w:tcPr>
            <w:tcW w:w="929" w:type="dxa"/>
            <w:vAlign w:val="top"/>
          </w:tcPr>
          <w:p w14:paraId="230E2D30">
            <w:pPr>
              <w:kinsoku w:val="0"/>
              <w:autoSpaceDE w:val="0"/>
              <w:autoSpaceDN w:val="0"/>
              <w:adjustRightInd w:val="0"/>
              <w:snapToGrid w:val="0"/>
              <w:spacing w:before="261" w:line="219"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4"/>
                <w:kern w:val="0"/>
                <w:sz w:val="23"/>
                <w:szCs w:val="23"/>
                <w:lang w:val="en-US" w:eastAsia="en-US" w:bidi="ar-SA"/>
              </w:rPr>
              <w:t>姓名</w:t>
            </w:r>
          </w:p>
        </w:tc>
        <w:tc>
          <w:tcPr>
            <w:tcW w:w="1988" w:type="dxa"/>
            <w:gridSpan w:val="2"/>
            <w:vAlign w:val="top"/>
          </w:tcPr>
          <w:p w14:paraId="09F7ACCC">
            <w:pPr>
              <w:kinsoku w:val="0"/>
              <w:autoSpaceDE w:val="0"/>
              <w:autoSpaceDN w:val="0"/>
              <w:adjustRightInd w:val="0"/>
              <w:snapToGrid w:val="0"/>
              <w:spacing w:before="261" w:line="219"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身份证号码</w:t>
            </w:r>
          </w:p>
        </w:tc>
        <w:tc>
          <w:tcPr>
            <w:tcW w:w="1488" w:type="dxa"/>
            <w:vAlign w:val="top"/>
          </w:tcPr>
          <w:p w14:paraId="7B4C2DF0">
            <w:pPr>
              <w:kinsoku w:val="0"/>
              <w:autoSpaceDE w:val="0"/>
              <w:autoSpaceDN w:val="0"/>
              <w:adjustRightInd w:val="0"/>
              <w:snapToGrid w:val="0"/>
              <w:spacing w:before="91" w:line="260" w:lineRule="auto"/>
              <w:ind w:left="0" w:leftChars="0" w:right="26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5"/>
                <w:kern w:val="0"/>
                <w:sz w:val="23"/>
                <w:szCs w:val="23"/>
                <w:lang w:val="en-US" w:eastAsia="en-US" w:bidi="ar-SA"/>
              </w:rPr>
              <w:t>劳动合同</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2"/>
                <w:kern w:val="0"/>
                <w:sz w:val="23"/>
                <w:szCs w:val="23"/>
                <w:lang w:val="en-US" w:eastAsia="en-US" w:bidi="ar-SA"/>
              </w:rPr>
              <w:t>关系单位</w:t>
            </w:r>
          </w:p>
        </w:tc>
        <w:tc>
          <w:tcPr>
            <w:tcW w:w="1489" w:type="dxa"/>
            <w:vAlign w:val="top"/>
          </w:tcPr>
          <w:p w14:paraId="7A93FD04">
            <w:pPr>
              <w:kinsoku w:val="0"/>
              <w:autoSpaceDE w:val="0"/>
              <w:autoSpaceDN w:val="0"/>
              <w:adjustRightInd w:val="0"/>
              <w:snapToGrid w:val="0"/>
              <w:spacing w:before="81" w:line="264" w:lineRule="auto"/>
              <w:ind w:left="0" w:leftChars="0" w:right="287"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缴纳社会</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2"/>
                <w:kern w:val="0"/>
                <w:sz w:val="23"/>
                <w:szCs w:val="23"/>
                <w:lang w:val="en-US" w:eastAsia="en-US" w:bidi="ar-SA"/>
              </w:rPr>
              <w:t>保险单位</w:t>
            </w:r>
          </w:p>
        </w:tc>
      </w:tr>
      <w:tr w14:paraId="721B6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724" w:type="dxa"/>
            <w:vAlign w:val="top"/>
          </w:tcPr>
          <w:p w14:paraId="23E36983">
            <w:pPr>
              <w:widowControl/>
              <w:kinsoku w:val="0"/>
              <w:autoSpaceDE w:val="0"/>
              <w:autoSpaceDN w:val="0"/>
              <w:adjustRightInd w:val="0"/>
              <w:snapToGrid w:val="0"/>
              <w:spacing w:line="333" w:lineRule="auto"/>
              <w:ind w:firstLine="0" w:firstLineChars="0"/>
              <w:jc w:val="left"/>
              <w:textAlignment w:val="baseline"/>
              <w:rPr>
                <w:rFonts w:ascii="Arial" w:hAnsi="Arial" w:eastAsia="Arial" w:cs="Arial"/>
                <w:snapToGrid w:val="0"/>
                <w:color w:val="000000"/>
                <w:kern w:val="0"/>
                <w:sz w:val="21"/>
                <w:szCs w:val="21"/>
                <w:lang w:eastAsia="en-US"/>
              </w:rPr>
            </w:pPr>
          </w:p>
          <w:p w14:paraId="2EAC4025">
            <w:pPr>
              <w:kinsoku w:val="0"/>
              <w:autoSpaceDE w:val="0"/>
              <w:autoSpaceDN w:val="0"/>
              <w:adjustRightInd w:val="0"/>
              <w:snapToGrid w:val="0"/>
              <w:spacing w:before="75" w:line="184"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1</w:t>
            </w:r>
          </w:p>
        </w:tc>
        <w:tc>
          <w:tcPr>
            <w:tcW w:w="2267" w:type="dxa"/>
            <w:gridSpan w:val="2"/>
            <w:vAlign w:val="top"/>
          </w:tcPr>
          <w:p w14:paraId="0906200E">
            <w:pPr>
              <w:kinsoku w:val="0"/>
              <w:autoSpaceDE w:val="0"/>
              <w:autoSpaceDN w:val="0"/>
              <w:adjustRightInd w:val="0"/>
              <w:snapToGrid w:val="0"/>
              <w:spacing w:before="211" w:line="280" w:lineRule="auto"/>
              <w:ind w:left="0" w:leftChars="0" w:right="30" w:firstLine="0" w:firstLineChars="0"/>
              <w:jc w:val="both"/>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法定代表人/单位负责</w:t>
            </w:r>
            <w:r>
              <w:rPr>
                <w:rFonts w:ascii="宋体" w:hAnsi="宋体" w:eastAsia="宋体" w:cs="宋体"/>
                <w:snapToGrid w:val="0"/>
                <w:color w:val="000000"/>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人/主要经营负责人</w:t>
            </w:r>
          </w:p>
        </w:tc>
        <w:tc>
          <w:tcPr>
            <w:tcW w:w="929" w:type="dxa"/>
            <w:vAlign w:val="top"/>
          </w:tcPr>
          <w:p w14:paraId="0F9924F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2B04257F">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8" w:type="dxa"/>
            <w:vAlign w:val="top"/>
          </w:tcPr>
          <w:p w14:paraId="7C7899AC">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9" w:type="dxa"/>
            <w:vAlign w:val="top"/>
          </w:tcPr>
          <w:p w14:paraId="7E0A2518">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39202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724" w:type="dxa"/>
            <w:vAlign w:val="top"/>
          </w:tcPr>
          <w:p w14:paraId="63B33312">
            <w:pPr>
              <w:kinsoku w:val="0"/>
              <w:autoSpaceDE w:val="0"/>
              <w:autoSpaceDN w:val="0"/>
              <w:adjustRightInd w:val="0"/>
              <w:snapToGrid w:val="0"/>
              <w:spacing w:before="142" w:line="183"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2</w:t>
            </w:r>
          </w:p>
        </w:tc>
        <w:tc>
          <w:tcPr>
            <w:tcW w:w="2267" w:type="dxa"/>
            <w:gridSpan w:val="2"/>
            <w:vAlign w:val="top"/>
          </w:tcPr>
          <w:p w14:paraId="27BD3ECD">
            <w:pPr>
              <w:kinsoku w:val="0"/>
              <w:autoSpaceDE w:val="0"/>
              <w:autoSpaceDN w:val="0"/>
              <w:adjustRightInd w:val="0"/>
              <w:snapToGrid w:val="0"/>
              <w:spacing w:before="83" w:line="219" w:lineRule="auto"/>
              <w:ind w:left="0" w:leftChars="0" w:firstLine="0" w:firstLineChars="0"/>
              <w:jc w:val="both"/>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项目响应授权代表人</w:t>
            </w:r>
          </w:p>
        </w:tc>
        <w:tc>
          <w:tcPr>
            <w:tcW w:w="929" w:type="dxa"/>
            <w:vAlign w:val="top"/>
          </w:tcPr>
          <w:p w14:paraId="5B5ACA9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7470C709">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8" w:type="dxa"/>
            <w:vAlign w:val="top"/>
          </w:tcPr>
          <w:p w14:paraId="2C25CEAF">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9" w:type="dxa"/>
            <w:vAlign w:val="top"/>
          </w:tcPr>
          <w:p w14:paraId="443057E7">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5EA43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24" w:type="dxa"/>
            <w:vAlign w:val="top"/>
          </w:tcPr>
          <w:p w14:paraId="116A1D49">
            <w:pPr>
              <w:kinsoku w:val="0"/>
              <w:autoSpaceDE w:val="0"/>
              <w:autoSpaceDN w:val="0"/>
              <w:adjustRightInd w:val="0"/>
              <w:snapToGrid w:val="0"/>
              <w:spacing w:before="133" w:line="182"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3</w:t>
            </w:r>
          </w:p>
        </w:tc>
        <w:tc>
          <w:tcPr>
            <w:tcW w:w="2267" w:type="dxa"/>
            <w:gridSpan w:val="2"/>
            <w:vAlign w:val="top"/>
          </w:tcPr>
          <w:p w14:paraId="62FA6B17">
            <w:pPr>
              <w:kinsoku w:val="0"/>
              <w:autoSpaceDE w:val="0"/>
              <w:autoSpaceDN w:val="0"/>
              <w:adjustRightInd w:val="0"/>
              <w:snapToGrid w:val="0"/>
              <w:spacing w:before="73" w:line="219" w:lineRule="auto"/>
              <w:ind w:left="0" w:leftChars="0" w:firstLine="0" w:firstLineChars="0"/>
              <w:jc w:val="both"/>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项目负责人</w:t>
            </w:r>
          </w:p>
        </w:tc>
        <w:tc>
          <w:tcPr>
            <w:tcW w:w="929" w:type="dxa"/>
            <w:vAlign w:val="top"/>
          </w:tcPr>
          <w:p w14:paraId="4D292D0E">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6606CF5C">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8" w:type="dxa"/>
            <w:vAlign w:val="top"/>
          </w:tcPr>
          <w:p w14:paraId="7F7F3A1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9" w:type="dxa"/>
            <w:vAlign w:val="top"/>
          </w:tcPr>
          <w:p w14:paraId="7BFFE705">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7C360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724" w:type="dxa"/>
            <w:vAlign w:val="top"/>
          </w:tcPr>
          <w:p w14:paraId="451D1F99">
            <w:pPr>
              <w:kinsoku w:val="0"/>
              <w:autoSpaceDE w:val="0"/>
              <w:autoSpaceDN w:val="0"/>
              <w:adjustRightInd w:val="0"/>
              <w:snapToGrid w:val="0"/>
              <w:spacing w:before="142" w:line="182"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4</w:t>
            </w:r>
          </w:p>
        </w:tc>
        <w:tc>
          <w:tcPr>
            <w:tcW w:w="2267" w:type="dxa"/>
            <w:gridSpan w:val="2"/>
            <w:vAlign w:val="top"/>
          </w:tcPr>
          <w:p w14:paraId="04DF86A0">
            <w:pPr>
              <w:kinsoku w:val="0"/>
              <w:autoSpaceDE w:val="0"/>
              <w:autoSpaceDN w:val="0"/>
              <w:adjustRightInd w:val="0"/>
              <w:snapToGrid w:val="0"/>
              <w:spacing w:before="83" w:line="219" w:lineRule="auto"/>
              <w:ind w:left="0" w:leftChars="0" w:firstLine="0" w:firstLineChars="0"/>
              <w:jc w:val="both"/>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5"/>
                <w:kern w:val="0"/>
                <w:sz w:val="23"/>
                <w:szCs w:val="23"/>
                <w:lang w:val="en-US" w:eastAsia="en-US" w:bidi="ar-SA"/>
              </w:rPr>
              <w:t>主要技术人员</w:t>
            </w:r>
          </w:p>
        </w:tc>
        <w:tc>
          <w:tcPr>
            <w:tcW w:w="929" w:type="dxa"/>
            <w:vAlign w:val="top"/>
          </w:tcPr>
          <w:p w14:paraId="19F62BF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570B81D8">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8" w:type="dxa"/>
            <w:vAlign w:val="top"/>
          </w:tcPr>
          <w:p w14:paraId="4B8EABD7">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9" w:type="dxa"/>
            <w:vAlign w:val="top"/>
          </w:tcPr>
          <w:p w14:paraId="2B64F15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3B031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24" w:type="dxa"/>
            <w:vAlign w:val="top"/>
          </w:tcPr>
          <w:p w14:paraId="1DCB0BEB">
            <w:pPr>
              <w:kinsoku w:val="0"/>
              <w:autoSpaceDE w:val="0"/>
              <w:autoSpaceDN w:val="0"/>
              <w:adjustRightInd w:val="0"/>
              <w:snapToGrid w:val="0"/>
              <w:spacing w:before="135" w:line="180"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5</w:t>
            </w:r>
          </w:p>
        </w:tc>
        <w:tc>
          <w:tcPr>
            <w:tcW w:w="2267" w:type="dxa"/>
            <w:gridSpan w:val="2"/>
            <w:vAlign w:val="top"/>
          </w:tcPr>
          <w:p w14:paraId="33DEFF27">
            <w:pPr>
              <w:kinsoku w:val="0"/>
              <w:autoSpaceDE w:val="0"/>
              <w:autoSpaceDN w:val="0"/>
              <w:adjustRightInd w:val="0"/>
              <w:snapToGrid w:val="0"/>
              <w:spacing w:before="74" w:line="219" w:lineRule="auto"/>
              <w:ind w:left="0" w:leftChars="0" w:firstLine="0" w:firstLineChars="0"/>
              <w:jc w:val="both"/>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3"/>
                <w:kern w:val="0"/>
                <w:sz w:val="23"/>
                <w:szCs w:val="23"/>
                <w:lang w:val="en-US" w:eastAsia="en-US" w:bidi="ar-SA"/>
              </w:rPr>
              <w:t>响应文件编制人员</w:t>
            </w:r>
          </w:p>
        </w:tc>
        <w:tc>
          <w:tcPr>
            <w:tcW w:w="929" w:type="dxa"/>
            <w:vAlign w:val="top"/>
          </w:tcPr>
          <w:p w14:paraId="2B812D22">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988" w:type="dxa"/>
            <w:gridSpan w:val="2"/>
            <w:vAlign w:val="top"/>
          </w:tcPr>
          <w:p w14:paraId="525E6968">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8" w:type="dxa"/>
            <w:vAlign w:val="top"/>
          </w:tcPr>
          <w:p w14:paraId="32FA8AC4">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1489" w:type="dxa"/>
            <w:vAlign w:val="top"/>
          </w:tcPr>
          <w:p w14:paraId="2F1864B3">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r>
      <w:tr w14:paraId="346B7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885" w:type="dxa"/>
            <w:gridSpan w:val="8"/>
            <w:vAlign w:val="top"/>
          </w:tcPr>
          <w:p w14:paraId="53531F8E">
            <w:pPr>
              <w:kinsoku w:val="0"/>
              <w:autoSpaceDE w:val="0"/>
              <w:autoSpaceDN w:val="0"/>
              <w:adjustRightInd w:val="0"/>
              <w:snapToGrid w:val="0"/>
              <w:spacing w:before="77" w:line="216" w:lineRule="auto"/>
              <w:ind w:left="78"/>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b/>
                <w:bCs/>
                <w:snapToGrid w:val="0"/>
                <w:color w:val="000000"/>
                <w:spacing w:val="-3"/>
                <w:kern w:val="0"/>
                <w:sz w:val="23"/>
                <w:szCs w:val="23"/>
                <w:lang w:val="en-US" w:eastAsia="en-US" w:bidi="ar-SA"/>
              </w:rPr>
              <w:t>说明：同一职务有多人担任(如主要技术人员),应分行填写。</w:t>
            </w:r>
          </w:p>
        </w:tc>
      </w:tr>
      <w:tr w14:paraId="44E2F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885" w:type="dxa"/>
            <w:gridSpan w:val="8"/>
            <w:vAlign w:val="top"/>
          </w:tcPr>
          <w:p w14:paraId="7073E077">
            <w:pPr>
              <w:kinsoku w:val="0"/>
              <w:autoSpaceDE w:val="0"/>
              <w:autoSpaceDN w:val="0"/>
              <w:adjustRightInd w:val="0"/>
              <w:snapToGrid w:val="0"/>
              <w:spacing w:before="159" w:line="219" w:lineRule="auto"/>
              <w:ind w:left="3268"/>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b/>
                <w:bCs/>
                <w:snapToGrid w:val="0"/>
                <w:color w:val="000000"/>
                <w:spacing w:val="-3"/>
                <w:kern w:val="0"/>
                <w:sz w:val="23"/>
                <w:szCs w:val="23"/>
                <w:lang w:val="en-US" w:eastAsia="en-US" w:bidi="ar-SA"/>
              </w:rPr>
              <w:t>响应供应商关联关系情况</w:t>
            </w:r>
          </w:p>
        </w:tc>
      </w:tr>
      <w:tr w14:paraId="0217F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724" w:type="dxa"/>
            <w:vAlign w:val="top"/>
          </w:tcPr>
          <w:p w14:paraId="128C3896">
            <w:pPr>
              <w:kinsoku w:val="0"/>
              <w:autoSpaceDE w:val="0"/>
              <w:autoSpaceDN w:val="0"/>
              <w:adjustRightInd w:val="0"/>
              <w:snapToGrid w:val="0"/>
              <w:spacing w:before="73" w:line="221"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b/>
                <w:bCs/>
                <w:snapToGrid w:val="0"/>
                <w:color w:val="000000"/>
                <w:spacing w:val="-5"/>
                <w:kern w:val="0"/>
                <w:sz w:val="23"/>
                <w:szCs w:val="23"/>
                <w:lang w:val="en-US" w:eastAsia="en-US" w:bidi="ar-SA"/>
              </w:rPr>
              <w:t>序号</w:t>
            </w:r>
          </w:p>
        </w:tc>
        <w:tc>
          <w:tcPr>
            <w:tcW w:w="2267" w:type="dxa"/>
            <w:gridSpan w:val="2"/>
            <w:vAlign w:val="top"/>
          </w:tcPr>
          <w:p w14:paraId="3387BEAE">
            <w:pPr>
              <w:kinsoku w:val="0"/>
              <w:autoSpaceDE w:val="0"/>
              <w:autoSpaceDN w:val="0"/>
              <w:adjustRightInd w:val="0"/>
              <w:snapToGrid w:val="0"/>
              <w:spacing w:before="75" w:line="219"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2"/>
                <w:kern w:val="0"/>
                <w:sz w:val="23"/>
                <w:szCs w:val="23"/>
                <w:lang w:val="en-US" w:eastAsia="en-US" w:bidi="ar-SA"/>
              </w:rPr>
              <w:t>关联关系类型</w:t>
            </w:r>
          </w:p>
        </w:tc>
        <w:tc>
          <w:tcPr>
            <w:tcW w:w="1728" w:type="dxa"/>
            <w:gridSpan w:val="2"/>
            <w:vAlign w:val="top"/>
          </w:tcPr>
          <w:p w14:paraId="4C52E6F9">
            <w:pPr>
              <w:kinsoku w:val="0"/>
              <w:autoSpaceDE w:val="0"/>
              <w:autoSpaceDN w:val="0"/>
              <w:adjustRightInd w:val="0"/>
              <w:snapToGrid w:val="0"/>
              <w:spacing w:before="76" w:line="220"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关联主体名称</w:t>
            </w:r>
          </w:p>
        </w:tc>
        <w:tc>
          <w:tcPr>
            <w:tcW w:w="4166" w:type="dxa"/>
            <w:gridSpan w:val="3"/>
            <w:vAlign w:val="top"/>
          </w:tcPr>
          <w:p w14:paraId="39917DB4">
            <w:pPr>
              <w:kinsoku w:val="0"/>
              <w:autoSpaceDE w:val="0"/>
              <w:autoSpaceDN w:val="0"/>
              <w:adjustRightInd w:val="0"/>
              <w:snapToGrid w:val="0"/>
              <w:spacing w:before="76" w:line="221" w:lineRule="auto"/>
              <w:ind w:left="1845"/>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5"/>
                <w:kern w:val="0"/>
                <w:sz w:val="23"/>
                <w:szCs w:val="23"/>
                <w:lang w:val="en-US" w:eastAsia="en-US" w:bidi="ar-SA"/>
              </w:rPr>
              <w:t>备注</w:t>
            </w:r>
          </w:p>
        </w:tc>
      </w:tr>
      <w:tr w14:paraId="43343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7" w:hRule="atLeast"/>
        </w:trPr>
        <w:tc>
          <w:tcPr>
            <w:tcW w:w="724" w:type="dxa"/>
            <w:vAlign w:val="top"/>
          </w:tcPr>
          <w:p w14:paraId="6E960209">
            <w:pPr>
              <w:widowControl/>
              <w:kinsoku w:val="0"/>
              <w:autoSpaceDE w:val="0"/>
              <w:autoSpaceDN w:val="0"/>
              <w:adjustRightInd w:val="0"/>
              <w:snapToGrid w:val="0"/>
              <w:spacing w:line="242" w:lineRule="auto"/>
              <w:ind w:firstLine="0" w:firstLineChars="0"/>
              <w:jc w:val="left"/>
              <w:textAlignment w:val="baseline"/>
              <w:rPr>
                <w:rFonts w:ascii="Arial" w:hAnsi="Arial" w:eastAsia="Arial" w:cs="Arial"/>
                <w:snapToGrid w:val="0"/>
                <w:color w:val="000000"/>
                <w:kern w:val="0"/>
                <w:sz w:val="21"/>
                <w:szCs w:val="21"/>
                <w:lang w:eastAsia="en-US"/>
              </w:rPr>
            </w:pPr>
          </w:p>
          <w:p w14:paraId="5312CBD6">
            <w:pPr>
              <w:widowControl/>
              <w:kinsoku w:val="0"/>
              <w:autoSpaceDE w:val="0"/>
              <w:autoSpaceDN w:val="0"/>
              <w:adjustRightInd w:val="0"/>
              <w:snapToGrid w:val="0"/>
              <w:spacing w:line="242" w:lineRule="auto"/>
              <w:ind w:firstLine="0" w:firstLineChars="0"/>
              <w:jc w:val="left"/>
              <w:textAlignment w:val="baseline"/>
              <w:rPr>
                <w:rFonts w:ascii="Arial" w:hAnsi="Arial" w:eastAsia="Arial" w:cs="Arial"/>
                <w:snapToGrid w:val="0"/>
                <w:color w:val="000000"/>
                <w:kern w:val="0"/>
                <w:sz w:val="21"/>
                <w:szCs w:val="21"/>
                <w:lang w:eastAsia="en-US"/>
              </w:rPr>
            </w:pPr>
          </w:p>
          <w:p w14:paraId="05295851">
            <w:pPr>
              <w:widowControl/>
              <w:kinsoku w:val="0"/>
              <w:autoSpaceDE w:val="0"/>
              <w:autoSpaceDN w:val="0"/>
              <w:adjustRightInd w:val="0"/>
              <w:snapToGrid w:val="0"/>
              <w:spacing w:line="242" w:lineRule="auto"/>
              <w:ind w:firstLine="0" w:firstLineChars="0"/>
              <w:jc w:val="left"/>
              <w:textAlignment w:val="baseline"/>
              <w:rPr>
                <w:rFonts w:ascii="Arial" w:hAnsi="Arial" w:eastAsia="Arial" w:cs="Arial"/>
                <w:snapToGrid w:val="0"/>
                <w:color w:val="000000"/>
                <w:kern w:val="0"/>
                <w:sz w:val="21"/>
                <w:szCs w:val="21"/>
                <w:lang w:eastAsia="en-US"/>
              </w:rPr>
            </w:pPr>
          </w:p>
          <w:p w14:paraId="78078742">
            <w:pPr>
              <w:widowControl/>
              <w:kinsoku w:val="0"/>
              <w:autoSpaceDE w:val="0"/>
              <w:autoSpaceDN w:val="0"/>
              <w:adjustRightInd w:val="0"/>
              <w:snapToGrid w:val="0"/>
              <w:spacing w:line="242" w:lineRule="auto"/>
              <w:ind w:firstLine="0" w:firstLineChars="0"/>
              <w:jc w:val="left"/>
              <w:textAlignment w:val="baseline"/>
              <w:rPr>
                <w:rFonts w:ascii="Arial" w:hAnsi="Arial" w:eastAsia="Arial" w:cs="Arial"/>
                <w:snapToGrid w:val="0"/>
                <w:color w:val="000000"/>
                <w:kern w:val="0"/>
                <w:sz w:val="21"/>
                <w:szCs w:val="21"/>
                <w:lang w:eastAsia="en-US"/>
              </w:rPr>
            </w:pPr>
          </w:p>
          <w:p w14:paraId="54B07938">
            <w:pPr>
              <w:widowControl/>
              <w:kinsoku w:val="0"/>
              <w:autoSpaceDE w:val="0"/>
              <w:autoSpaceDN w:val="0"/>
              <w:adjustRightInd w:val="0"/>
              <w:snapToGrid w:val="0"/>
              <w:spacing w:line="243" w:lineRule="auto"/>
              <w:ind w:firstLine="0" w:firstLineChars="0"/>
              <w:jc w:val="left"/>
              <w:textAlignment w:val="baseline"/>
              <w:rPr>
                <w:rFonts w:ascii="Arial" w:hAnsi="Arial" w:eastAsia="Arial" w:cs="Arial"/>
                <w:snapToGrid w:val="0"/>
                <w:color w:val="000000"/>
                <w:kern w:val="0"/>
                <w:sz w:val="21"/>
                <w:szCs w:val="21"/>
                <w:lang w:eastAsia="en-US"/>
              </w:rPr>
            </w:pPr>
          </w:p>
          <w:p w14:paraId="51D5DEB0">
            <w:pPr>
              <w:kinsoku w:val="0"/>
              <w:autoSpaceDE w:val="0"/>
              <w:autoSpaceDN w:val="0"/>
              <w:adjustRightInd w:val="0"/>
              <w:snapToGrid w:val="0"/>
              <w:spacing w:before="75" w:line="184"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1</w:t>
            </w:r>
          </w:p>
        </w:tc>
        <w:tc>
          <w:tcPr>
            <w:tcW w:w="2267" w:type="dxa"/>
            <w:gridSpan w:val="2"/>
            <w:vAlign w:val="top"/>
          </w:tcPr>
          <w:p w14:paraId="3EE8AC58">
            <w:pPr>
              <w:widowControl/>
              <w:kinsoku w:val="0"/>
              <w:autoSpaceDE w:val="0"/>
              <w:autoSpaceDN w:val="0"/>
              <w:adjustRightInd w:val="0"/>
              <w:snapToGrid w:val="0"/>
              <w:spacing w:line="288" w:lineRule="auto"/>
              <w:ind w:firstLine="0" w:firstLineChars="0"/>
              <w:jc w:val="left"/>
              <w:textAlignment w:val="baseline"/>
              <w:rPr>
                <w:rFonts w:ascii="Arial" w:hAnsi="Arial" w:eastAsia="Arial" w:cs="Arial"/>
                <w:snapToGrid w:val="0"/>
                <w:color w:val="000000"/>
                <w:kern w:val="0"/>
                <w:sz w:val="21"/>
                <w:szCs w:val="21"/>
                <w:lang w:eastAsia="en-US"/>
              </w:rPr>
            </w:pPr>
          </w:p>
          <w:p w14:paraId="33C141F8">
            <w:pPr>
              <w:widowControl/>
              <w:kinsoku w:val="0"/>
              <w:autoSpaceDE w:val="0"/>
              <w:autoSpaceDN w:val="0"/>
              <w:adjustRightInd w:val="0"/>
              <w:snapToGrid w:val="0"/>
              <w:spacing w:line="288" w:lineRule="auto"/>
              <w:ind w:firstLine="0" w:firstLineChars="0"/>
              <w:jc w:val="left"/>
              <w:textAlignment w:val="baseline"/>
              <w:rPr>
                <w:rFonts w:ascii="Arial" w:hAnsi="Arial" w:eastAsia="Arial" w:cs="Arial"/>
                <w:snapToGrid w:val="0"/>
                <w:color w:val="000000"/>
                <w:kern w:val="0"/>
                <w:sz w:val="21"/>
                <w:szCs w:val="21"/>
                <w:lang w:eastAsia="en-US"/>
              </w:rPr>
            </w:pPr>
          </w:p>
          <w:p w14:paraId="3BA39421">
            <w:pPr>
              <w:widowControl/>
              <w:kinsoku w:val="0"/>
              <w:autoSpaceDE w:val="0"/>
              <w:autoSpaceDN w:val="0"/>
              <w:adjustRightInd w:val="0"/>
              <w:snapToGrid w:val="0"/>
              <w:spacing w:line="288" w:lineRule="auto"/>
              <w:ind w:firstLine="0" w:firstLineChars="0"/>
              <w:jc w:val="left"/>
              <w:textAlignment w:val="baseline"/>
              <w:rPr>
                <w:rFonts w:ascii="Arial" w:hAnsi="Arial" w:eastAsia="Arial" w:cs="Arial"/>
                <w:snapToGrid w:val="0"/>
                <w:color w:val="000000"/>
                <w:kern w:val="0"/>
                <w:sz w:val="21"/>
                <w:szCs w:val="21"/>
                <w:lang w:eastAsia="en-US"/>
              </w:rPr>
            </w:pPr>
          </w:p>
          <w:p w14:paraId="47020DD8">
            <w:pPr>
              <w:widowControl/>
              <w:kinsoku w:val="0"/>
              <w:autoSpaceDE w:val="0"/>
              <w:autoSpaceDN w:val="0"/>
              <w:adjustRightInd w:val="0"/>
              <w:snapToGrid w:val="0"/>
              <w:spacing w:line="289" w:lineRule="auto"/>
              <w:ind w:firstLine="0" w:firstLineChars="0"/>
              <w:jc w:val="left"/>
              <w:textAlignment w:val="baseline"/>
              <w:rPr>
                <w:rFonts w:ascii="Arial" w:hAnsi="Arial" w:eastAsia="Arial" w:cs="Arial"/>
                <w:snapToGrid w:val="0"/>
                <w:color w:val="000000"/>
                <w:kern w:val="0"/>
                <w:sz w:val="21"/>
                <w:szCs w:val="21"/>
                <w:lang w:eastAsia="en-US"/>
              </w:rPr>
            </w:pPr>
          </w:p>
          <w:p w14:paraId="38C13655">
            <w:pPr>
              <w:kinsoku w:val="0"/>
              <w:autoSpaceDE w:val="0"/>
              <w:autoSpaceDN w:val="0"/>
              <w:adjustRightInd w:val="0"/>
              <w:snapToGrid w:val="0"/>
              <w:spacing w:before="75" w:line="219" w:lineRule="auto"/>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5"/>
                <w:kern w:val="0"/>
                <w:sz w:val="23"/>
                <w:szCs w:val="23"/>
                <w:lang w:val="en-US" w:eastAsia="en-US" w:bidi="ar-SA"/>
              </w:rPr>
              <w:t>控股股东</w:t>
            </w:r>
          </w:p>
        </w:tc>
        <w:tc>
          <w:tcPr>
            <w:tcW w:w="1728" w:type="dxa"/>
            <w:gridSpan w:val="2"/>
            <w:vAlign w:val="top"/>
          </w:tcPr>
          <w:p w14:paraId="41C562C7">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4166" w:type="dxa"/>
            <w:gridSpan w:val="3"/>
            <w:vAlign w:val="top"/>
          </w:tcPr>
          <w:p w14:paraId="20CCCB61">
            <w:pPr>
              <w:kinsoku w:val="0"/>
              <w:autoSpaceDE w:val="0"/>
              <w:autoSpaceDN w:val="0"/>
              <w:adjustRightInd w:val="0"/>
              <w:snapToGrid w:val="0"/>
              <w:spacing w:before="103" w:line="219"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指出资额(或持有股份)占响应供应商资本总额(或股本总额)50%以上的股东，以及出资额(或持有股份)的比例虽然不足50%,但依其出资额(或持有股份)所</w:t>
            </w:r>
            <w:r>
              <w:rPr>
                <w:rFonts w:ascii="宋体" w:hAnsi="宋体" w:eastAsia="宋体" w:cs="宋体"/>
                <w:snapToGrid w:val="0"/>
                <w:color w:val="000000"/>
                <w:spacing w:val="-1"/>
                <w:kern w:val="0"/>
                <w:sz w:val="23"/>
                <w:szCs w:val="23"/>
                <w:lang w:val="en-US" w:eastAsia="en-US" w:bidi="ar-SA"/>
              </w:rPr>
              <w:t>享有的表决权已足以对投标(响应)供应</w:t>
            </w:r>
            <w:r>
              <w:rPr>
                <w:rFonts w:ascii="宋体" w:hAnsi="宋体" w:eastAsia="宋体" w:cs="宋体"/>
                <w:snapToGrid w:val="0"/>
                <w:color w:val="000000"/>
                <w:kern w:val="0"/>
                <w:sz w:val="23"/>
                <w:szCs w:val="23"/>
                <w:lang w:val="en-US" w:eastAsia="en-US" w:bidi="ar-SA"/>
              </w:rPr>
              <w:t>商股东会(或股东大会)的决议产生重要</w:t>
            </w:r>
            <w:r>
              <w:rPr>
                <w:rFonts w:ascii="宋体" w:hAnsi="宋体" w:eastAsia="宋体" w:cs="宋体"/>
                <w:snapToGrid w:val="0"/>
                <w:color w:val="000000"/>
                <w:spacing w:val="-1"/>
                <w:kern w:val="0"/>
                <w:sz w:val="23"/>
                <w:szCs w:val="23"/>
                <w:lang w:val="en-US" w:eastAsia="en-US" w:bidi="ar-SA"/>
              </w:rPr>
              <w:t>影响的股东。</w:t>
            </w:r>
          </w:p>
        </w:tc>
      </w:tr>
      <w:tr w14:paraId="3F8E3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724" w:type="dxa"/>
            <w:vAlign w:val="top"/>
          </w:tcPr>
          <w:p w14:paraId="7C5E027A">
            <w:pPr>
              <w:widowControl/>
              <w:kinsoku w:val="0"/>
              <w:autoSpaceDE w:val="0"/>
              <w:autoSpaceDN w:val="0"/>
              <w:adjustRightInd w:val="0"/>
              <w:snapToGrid w:val="0"/>
              <w:spacing w:line="261" w:lineRule="auto"/>
              <w:ind w:firstLine="0" w:firstLineChars="0"/>
              <w:jc w:val="left"/>
              <w:textAlignment w:val="baseline"/>
              <w:rPr>
                <w:rFonts w:ascii="Arial" w:hAnsi="Arial" w:eastAsia="Arial" w:cs="Arial"/>
                <w:snapToGrid w:val="0"/>
                <w:color w:val="000000"/>
                <w:kern w:val="0"/>
                <w:sz w:val="21"/>
                <w:szCs w:val="21"/>
                <w:lang w:eastAsia="en-US"/>
              </w:rPr>
            </w:pPr>
          </w:p>
          <w:p w14:paraId="023B2346">
            <w:pPr>
              <w:kinsoku w:val="0"/>
              <w:autoSpaceDE w:val="0"/>
              <w:autoSpaceDN w:val="0"/>
              <w:adjustRightInd w:val="0"/>
              <w:snapToGrid w:val="0"/>
              <w:spacing w:before="75" w:line="183" w:lineRule="auto"/>
              <w:ind w:left="294"/>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kern w:val="0"/>
                <w:sz w:val="23"/>
                <w:szCs w:val="23"/>
                <w:lang w:val="en-US" w:eastAsia="en-US" w:bidi="ar-SA"/>
              </w:rPr>
              <w:t>2</w:t>
            </w:r>
          </w:p>
        </w:tc>
        <w:tc>
          <w:tcPr>
            <w:tcW w:w="2267" w:type="dxa"/>
            <w:gridSpan w:val="2"/>
            <w:vAlign w:val="top"/>
          </w:tcPr>
          <w:p w14:paraId="7179246B">
            <w:pPr>
              <w:kinsoku w:val="0"/>
              <w:autoSpaceDE w:val="0"/>
              <w:autoSpaceDN w:val="0"/>
              <w:adjustRightInd w:val="0"/>
              <w:snapToGrid w:val="0"/>
              <w:spacing w:before="278" w:line="219" w:lineRule="auto"/>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5"/>
                <w:kern w:val="0"/>
                <w:sz w:val="23"/>
                <w:szCs w:val="23"/>
                <w:lang w:val="en-US" w:eastAsia="en-US" w:bidi="ar-SA"/>
              </w:rPr>
              <w:t>管理关系</w:t>
            </w:r>
          </w:p>
        </w:tc>
        <w:tc>
          <w:tcPr>
            <w:tcW w:w="1728" w:type="dxa"/>
            <w:gridSpan w:val="2"/>
            <w:vAlign w:val="top"/>
          </w:tcPr>
          <w:p w14:paraId="1AED3CAD">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000000"/>
                <w:kern w:val="0"/>
                <w:sz w:val="21"/>
                <w:szCs w:val="21"/>
                <w:lang w:eastAsia="en-US"/>
              </w:rPr>
            </w:pPr>
          </w:p>
        </w:tc>
        <w:tc>
          <w:tcPr>
            <w:tcW w:w="4166" w:type="dxa"/>
            <w:gridSpan w:val="3"/>
            <w:vAlign w:val="top"/>
          </w:tcPr>
          <w:p w14:paraId="5A444C41">
            <w:pPr>
              <w:kinsoku w:val="0"/>
              <w:autoSpaceDE w:val="0"/>
              <w:autoSpaceDN w:val="0"/>
              <w:adjustRightInd w:val="0"/>
              <w:snapToGrid w:val="0"/>
              <w:spacing w:before="118" w:line="253" w:lineRule="auto"/>
              <w:ind w:left="0" w:leftChars="0" w:firstLine="0" w:firstLineChars="0"/>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snapToGrid w:val="0"/>
                <w:color w:val="000000"/>
                <w:spacing w:val="-1"/>
                <w:kern w:val="0"/>
                <w:sz w:val="23"/>
                <w:szCs w:val="23"/>
                <w:lang w:val="en-US" w:eastAsia="en-US" w:bidi="ar-SA"/>
              </w:rPr>
              <w:t>指对响应供应商不具有出资持股关系，但</w:t>
            </w:r>
            <w:r>
              <w:rPr>
                <w:rFonts w:ascii="宋体" w:hAnsi="宋体" w:eastAsia="宋体" w:cs="宋体"/>
                <w:snapToGrid w:val="0"/>
                <w:color w:val="000000"/>
                <w:spacing w:val="16"/>
                <w:kern w:val="0"/>
                <w:sz w:val="23"/>
                <w:szCs w:val="23"/>
                <w:lang w:val="en-US" w:eastAsia="en-US" w:bidi="ar-SA"/>
              </w:rPr>
              <w:t xml:space="preserve"> </w:t>
            </w:r>
            <w:r>
              <w:rPr>
                <w:rFonts w:ascii="宋体" w:hAnsi="宋体" w:eastAsia="宋体" w:cs="宋体"/>
                <w:snapToGrid w:val="0"/>
                <w:color w:val="000000"/>
                <w:spacing w:val="-1"/>
                <w:kern w:val="0"/>
                <w:sz w:val="23"/>
                <w:szCs w:val="23"/>
                <w:lang w:val="en-US" w:eastAsia="en-US" w:bidi="ar-SA"/>
              </w:rPr>
              <w:t>对其存在管理关系的主体。</w:t>
            </w:r>
          </w:p>
        </w:tc>
      </w:tr>
      <w:tr w14:paraId="666C6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8885" w:type="dxa"/>
            <w:gridSpan w:val="8"/>
            <w:vAlign w:val="top"/>
          </w:tcPr>
          <w:p w14:paraId="6A8A04BC">
            <w:pPr>
              <w:kinsoku w:val="0"/>
              <w:autoSpaceDE w:val="0"/>
              <w:autoSpaceDN w:val="0"/>
              <w:adjustRightInd w:val="0"/>
              <w:snapToGrid w:val="0"/>
              <w:spacing w:before="86" w:line="219" w:lineRule="auto"/>
              <w:ind w:left="78"/>
              <w:jc w:val="left"/>
              <w:textAlignment w:val="baseline"/>
              <w:rPr>
                <w:rFonts w:ascii="宋体" w:hAnsi="宋体" w:eastAsia="宋体" w:cs="宋体"/>
                <w:snapToGrid w:val="0"/>
                <w:color w:val="000000"/>
                <w:kern w:val="0"/>
                <w:sz w:val="23"/>
                <w:szCs w:val="23"/>
                <w:lang w:val="en-US" w:eastAsia="en-US" w:bidi="ar-SA"/>
              </w:rPr>
            </w:pPr>
            <w:r>
              <w:rPr>
                <w:rFonts w:ascii="宋体" w:hAnsi="宋体" w:eastAsia="宋体" w:cs="宋体"/>
                <w:b/>
                <w:bCs/>
                <w:snapToGrid w:val="0"/>
                <w:color w:val="000000"/>
                <w:spacing w:val="-3"/>
                <w:kern w:val="0"/>
                <w:sz w:val="23"/>
                <w:szCs w:val="23"/>
                <w:lang w:val="en-US" w:eastAsia="en-US" w:bidi="ar-SA"/>
              </w:rPr>
              <w:t>说明：同一关联关系类型有多个主体的，应分行填写。</w:t>
            </w:r>
          </w:p>
        </w:tc>
      </w:tr>
    </w:tbl>
    <w:p w14:paraId="72070A5F">
      <w:pPr>
        <w:ind w:firstLine="0" w:firstLineChars="0"/>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CFA85">
    <w:pPr>
      <w:pStyle w:val="8"/>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EDCBB">
                          <w:pPr>
                            <w:pStyle w:val="8"/>
                            <w:ind w:firstLine="360"/>
                            <w:rPr>
                              <w:rFonts w:hint="eastAsia"/>
                            </w:rPr>
                          </w:pPr>
                          <w:r>
                            <w:fldChar w:fldCharType="begin"/>
                          </w:r>
                          <w:r>
                            <w:instrText xml:space="preserve"> PAGE  \* MERGEFORMAT </w:instrText>
                          </w:r>
                          <w:r>
                            <w:fldChar w:fldCharType="separate"/>
                          </w:r>
                          <w:r>
                            <w:t>28</w:t>
                          </w:r>
                          <w:r>
                            <w:fldChar w:fldCharType="end"/>
                          </w:r>
                          <w:r>
                            <w:t xml:space="preserve"> / </w:t>
                          </w:r>
                          <w:r>
                            <w:fldChar w:fldCharType="begin"/>
                          </w:r>
                          <w:r>
                            <w:instrText xml:space="preserve"> NUMPAGES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BAEDCBB">
                    <w:pPr>
                      <w:pStyle w:val="8"/>
                      <w:ind w:firstLine="360"/>
                      <w:rPr>
                        <w:rFonts w:hint="eastAsia"/>
                      </w:rPr>
                    </w:pPr>
                    <w:r>
                      <w:fldChar w:fldCharType="begin"/>
                    </w:r>
                    <w:r>
                      <w:instrText xml:space="preserve"> PAGE  \* MERGEFORMAT </w:instrText>
                    </w:r>
                    <w:r>
                      <w:fldChar w:fldCharType="separate"/>
                    </w:r>
                    <w:r>
                      <w:t>28</w:t>
                    </w:r>
                    <w:r>
                      <w:fldChar w:fldCharType="end"/>
                    </w:r>
                    <w:r>
                      <w:t xml:space="preserve"> / </w:t>
                    </w:r>
                    <w:r>
                      <w:fldChar w:fldCharType="begin"/>
                    </w:r>
                    <w:r>
                      <w:instrText xml:space="preserve"> NUMPAGES  \* MERGEFORMAT </w:instrText>
                    </w:r>
                    <w:r>
                      <w:fldChar w:fldCharType="separate"/>
                    </w:r>
                    <w:r>
                      <w:t>38</w:t>
                    </w:r>
                    <w:r>
                      <w:fldChar w:fldCharType="end"/>
                    </w:r>
                  </w:p>
                </w:txbxContent>
              </v:textbox>
            </v:shape>
          </w:pict>
        </mc:Fallback>
      </mc:AlternateContent>
    </w:r>
  </w:p>
  <w:p w14:paraId="04137A17">
    <w:pPr>
      <w:pStyle w:val="8"/>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813E6">
    <w:pPr>
      <w:pStyle w:val="8"/>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0F5E">
    <w:pPr>
      <w:pStyle w:val="8"/>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B4B4">
    <w:pPr>
      <w:pStyle w:val="9"/>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9F7D3">
    <w:pPr>
      <w:pStyle w:val="9"/>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71513">
    <w:pPr>
      <w:pStyle w:val="9"/>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iMTUzNTRjMTg3ZDk3OWZlMmQ2ZTNlYTNkODk4NWMifQ=="/>
  </w:docVars>
  <w:rsids>
    <w:rsidRoot w:val="003317D4"/>
    <w:rsid w:val="00015A87"/>
    <w:rsid w:val="00063458"/>
    <w:rsid w:val="000C3D95"/>
    <w:rsid w:val="000D1327"/>
    <w:rsid w:val="001732B5"/>
    <w:rsid w:val="001A7AD7"/>
    <w:rsid w:val="00221E4A"/>
    <w:rsid w:val="002C682F"/>
    <w:rsid w:val="002E5302"/>
    <w:rsid w:val="002F6473"/>
    <w:rsid w:val="0031495A"/>
    <w:rsid w:val="003317D4"/>
    <w:rsid w:val="003B714A"/>
    <w:rsid w:val="00474486"/>
    <w:rsid w:val="004E6CE0"/>
    <w:rsid w:val="005544F7"/>
    <w:rsid w:val="005E4069"/>
    <w:rsid w:val="0061200A"/>
    <w:rsid w:val="00624FC9"/>
    <w:rsid w:val="006B44AE"/>
    <w:rsid w:val="007441C4"/>
    <w:rsid w:val="00762123"/>
    <w:rsid w:val="007C1114"/>
    <w:rsid w:val="00861F2D"/>
    <w:rsid w:val="008748E6"/>
    <w:rsid w:val="008A6BC1"/>
    <w:rsid w:val="008D52DE"/>
    <w:rsid w:val="008D6D09"/>
    <w:rsid w:val="00B32221"/>
    <w:rsid w:val="00B50805"/>
    <w:rsid w:val="00B55813"/>
    <w:rsid w:val="00BC7D54"/>
    <w:rsid w:val="00BF03F0"/>
    <w:rsid w:val="00CA3A09"/>
    <w:rsid w:val="00D1404A"/>
    <w:rsid w:val="00D61E0F"/>
    <w:rsid w:val="00D669AF"/>
    <w:rsid w:val="00E16DA0"/>
    <w:rsid w:val="00EA7496"/>
    <w:rsid w:val="00FD5589"/>
    <w:rsid w:val="196D122F"/>
    <w:rsid w:val="1D813FD5"/>
    <w:rsid w:val="1E1E013E"/>
    <w:rsid w:val="20B80B7E"/>
    <w:rsid w:val="22B51855"/>
    <w:rsid w:val="2865589F"/>
    <w:rsid w:val="2A22718C"/>
    <w:rsid w:val="2AEF5238"/>
    <w:rsid w:val="38630309"/>
    <w:rsid w:val="39790B66"/>
    <w:rsid w:val="39B854D0"/>
    <w:rsid w:val="3E481D3B"/>
    <w:rsid w:val="479C0A12"/>
    <w:rsid w:val="4BC4046C"/>
    <w:rsid w:val="4D1F5542"/>
    <w:rsid w:val="50C34F1E"/>
    <w:rsid w:val="51927DB6"/>
    <w:rsid w:val="607E1950"/>
    <w:rsid w:val="6402166F"/>
    <w:rsid w:val="6BAF4107"/>
    <w:rsid w:val="6EC04C77"/>
    <w:rsid w:val="6FC63DA3"/>
    <w:rsid w:val="78B2467D"/>
    <w:rsid w:val="79FC1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560" w:firstLineChars="20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20"/>
    <w:autoRedefine/>
    <w:qFormat/>
    <w:uiPriority w:val="9"/>
    <w:pPr>
      <w:keepNext/>
      <w:keepLines/>
      <w:jc w:val="center"/>
      <w:outlineLvl w:val="0"/>
    </w:pPr>
    <w:rPr>
      <w:rFonts w:ascii="方正小标宋简体" w:hAnsi="仿宋" w:eastAsia="方正小标宋简体"/>
      <w:color w:val="000000" w:themeColor="text1"/>
      <w:kern w:val="44"/>
      <w:sz w:val="36"/>
      <w:szCs w:val="44"/>
      <w14:textFill>
        <w14:solidFill>
          <w14:schemeClr w14:val="tx1"/>
        </w14:solidFill>
      </w14:textFill>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21"/>
    <w:autoRedefine/>
    <w:qFormat/>
    <w:uiPriority w:val="0"/>
    <w:pPr>
      <w:widowControl/>
      <w:spacing w:line="360" w:lineRule="auto"/>
      <w:ind w:firstLine="200"/>
    </w:pPr>
    <w:rPr>
      <w:rFonts w:eastAsiaTheme="minorEastAsia"/>
      <w:sz w:val="21"/>
      <w:szCs w:val="24"/>
    </w:rPr>
  </w:style>
  <w:style w:type="paragraph" w:styleId="7">
    <w:name w:val="toc 3"/>
    <w:basedOn w:val="1"/>
    <w:next w:val="1"/>
    <w:autoRedefine/>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8">
    <w:name w:val="footer"/>
    <w:basedOn w:val="1"/>
    <w:link w:val="19"/>
    <w:unhideWhenUsed/>
    <w:qFormat/>
    <w:uiPriority w:val="0"/>
    <w:pPr>
      <w:tabs>
        <w:tab w:val="center" w:pos="4153"/>
        <w:tab w:val="right" w:pos="8306"/>
      </w:tabs>
      <w:snapToGrid w:val="0"/>
      <w:jc w:val="left"/>
    </w:pPr>
    <w:rPr>
      <w:sz w:val="18"/>
      <w:szCs w:val="18"/>
    </w:rPr>
  </w:style>
  <w:style w:type="paragraph" w:styleId="9">
    <w:name w:val="header"/>
    <w:basedOn w:val="1"/>
    <w:link w:val="18"/>
    <w:autoRedefine/>
    <w:unhideWhenUsed/>
    <w:qFormat/>
    <w:uiPriority w:val="99"/>
    <w:pPr>
      <w:tabs>
        <w:tab w:val="center" w:pos="4153"/>
        <w:tab w:val="right" w:pos="8306"/>
      </w:tabs>
      <w:snapToGrid w:val="0"/>
      <w:jc w:val="center"/>
    </w:pPr>
    <w:rPr>
      <w:sz w:val="18"/>
      <w:szCs w:val="18"/>
    </w:rPr>
  </w:style>
  <w:style w:type="paragraph" w:styleId="10">
    <w:name w:val="toc 1"/>
    <w:basedOn w:val="1"/>
    <w:next w:val="1"/>
    <w:autoRedefine/>
    <w:unhideWhenUsed/>
    <w:qFormat/>
    <w:uiPriority w:val="39"/>
    <w:pPr>
      <w:widowControl/>
      <w:spacing w:after="100" w:line="259" w:lineRule="auto"/>
      <w:jc w:val="left"/>
    </w:pPr>
    <w:rPr>
      <w:rFonts w:cs="Times New Roman" w:eastAsiaTheme="minorEastAsia"/>
      <w:kern w:val="0"/>
      <w:sz w:val="22"/>
    </w:rPr>
  </w:style>
  <w:style w:type="paragraph" w:styleId="11">
    <w:name w:val="toc 2"/>
    <w:basedOn w:val="1"/>
    <w:next w:val="1"/>
    <w:autoRedefine/>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12">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styleId="17">
    <w:name w:val="Hyperlink"/>
    <w:autoRedefine/>
    <w:qFormat/>
    <w:uiPriority w:val="99"/>
    <w:rPr>
      <w:color w:val="0000FF"/>
      <w:u w:val="single"/>
    </w:rPr>
  </w:style>
  <w:style w:type="character" w:customStyle="1" w:styleId="18">
    <w:name w:val="页眉 字符"/>
    <w:basedOn w:val="15"/>
    <w:link w:val="9"/>
    <w:qFormat/>
    <w:uiPriority w:val="99"/>
    <w:rPr>
      <w:sz w:val="18"/>
      <w:szCs w:val="18"/>
    </w:rPr>
  </w:style>
  <w:style w:type="character" w:customStyle="1" w:styleId="19">
    <w:name w:val="页脚 字符"/>
    <w:basedOn w:val="15"/>
    <w:link w:val="8"/>
    <w:autoRedefine/>
    <w:qFormat/>
    <w:uiPriority w:val="0"/>
    <w:rPr>
      <w:sz w:val="18"/>
      <w:szCs w:val="18"/>
    </w:rPr>
  </w:style>
  <w:style w:type="character" w:customStyle="1" w:styleId="20">
    <w:name w:val="标题 1 字符"/>
    <w:basedOn w:val="15"/>
    <w:link w:val="2"/>
    <w:qFormat/>
    <w:uiPriority w:val="9"/>
    <w:rPr>
      <w:rFonts w:ascii="方正小标宋简体" w:hAnsi="仿宋" w:eastAsia="方正小标宋简体"/>
      <w:color w:val="000000" w:themeColor="text1"/>
      <w:kern w:val="44"/>
      <w:sz w:val="36"/>
      <w:szCs w:val="44"/>
      <w14:textFill>
        <w14:solidFill>
          <w14:schemeClr w14:val="tx1"/>
        </w14:solidFill>
      </w14:textFill>
    </w:rPr>
  </w:style>
  <w:style w:type="character" w:customStyle="1" w:styleId="21">
    <w:name w:val="正文缩进 字符"/>
    <w:link w:val="6"/>
    <w:autoRedefine/>
    <w:qFormat/>
    <w:uiPriority w:val="0"/>
    <w:rPr>
      <w:szCs w:val="24"/>
    </w:rPr>
  </w:style>
  <w:style w:type="paragraph" w:styleId="22">
    <w:name w:val="List Paragraph"/>
    <w:basedOn w:val="1"/>
    <w:autoRedefine/>
    <w:qFormat/>
    <w:uiPriority w:val="99"/>
    <w:pPr>
      <w:ind w:firstLine="420"/>
    </w:pPr>
  </w:style>
  <w:style w:type="paragraph" w:customStyle="1" w:styleId="23">
    <w:name w:val="Other|1"/>
    <w:basedOn w:val="1"/>
    <w:qFormat/>
    <w:uiPriority w:val="0"/>
    <w:pPr>
      <w:spacing w:line="338" w:lineRule="exact"/>
      <w:ind w:firstLine="0" w:firstLineChars="0"/>
    </w:pPr>
    <w:rPr>
      <w:rFonts w:ascii="宋体" w:hAnsi="宋体" w:cs="宋体"/>
      <w:sz w:val="22"/>
      <w:lang w:val="zh-TW" w:eastAsia="zh-TW" w:bidi="zh-TW"/>
    </w:rPr>
  </w:style>
  <w:style w:type="paragraph" w:customStyle="1" w:styleId="24">
    <w:name w:val="TOC 标题1"/>
    <w:basedOn w:val="2"/>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color w:val="2F5597" w:themeColor="accent1" w:themeShade="BF"/>
      <w:kern w:val="0"/>
      <w:sz w:val="32"/>
      <w:szCs w:val="32"/>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6240</Words>
  <Characters>6619</Characters>
  <Lines>48</Lines>
  <Paragraphs>13</Paragraphs>
  <TotalTime>8</TotalTime>
  <ScaleCrop>false</ScaleCrop>
  <LinksUpToDate>false</LinksUpToDate>
  <CharactersWithSpaces>6759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2024-03-15T02:11:00Z</dcterms:created>
  <dc:creator>Lee Bfen</dc:creator>
  <cp:lastModifiedBy>土豆霓</cp:lastModifiedBy>
  <dcterms:modified xsi:type="dcterms:W3CDTF">2026-08-19T07:53:05Z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6A82B0D4BD924052AA33C1015FFC35C9_13</vt:lpwstr>
  </property>
  <property fmtid="{D5CDD505-2E9C-101B-9397-08002B2CF9AE}" pid="4" name="KSOTemplateDocerSaveRecord">
    <vt:lpwstr>eyJoZGlkIjoiZTVkYjMzMDQ3ZDBhYWYzMDkxMzY5MDA4MDhlZmZiM2EiLCJ1c2VySWQiOiIxNTk0MTc0MzI3In0=</vt:lpwstr>
  </property>
</Properties>
</file>