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2F62DE">
      <w:pPr>
        <w:spacing w:line="500" w:lineRule="exact"/>
        <w:ind w:firstLine="0" w:firstLineChars="0"/>
        <w:rPr>
          <w:rFonts w:hint="eastAsia" w:ascii="宋体" w:hAnsi="宋体" w:cs="Times New Roman"/>
          <w:b/>
          <w:color w:val="000000" w:themeColor="text1"/>
          <w:sz w:val="48"/>
          <w:szCs w:val="48"/>
          <w:highlight w:val="none"/>
          <w14:textFill>
            <w14:solidFill>
              <w14:schemeClr w14:val="tx1"/>
            </w14:solidFill>
          </w14:textFill>
        </w:rPr>
      </w:pPr>
      <w:bookmarkStart w:id="11" w:name="_GoBack"/>
      <w:bookmarkEnd w:id="11"/>
    </w:p>
    <w:p w14:paraId="7F5E301A">
      <w:pPr>
        <w:spacing w:line="360" w:lineRule="auto"/>
        <w:ind w:firstLine="140" w:firstLineChars="27"/>
        <w:jc w:val="center"/>
        <w:rPr>
          <w:rFonts w:hint="eastAsia" w:ascii="宋体" w:hAnsi="宋体" w:cs="Times New Roman"/>
          <w:b/>
          <w:color w:val="000000" w:themeColor="text1"/>
          <w:sz w:val="72"/>
          <w:szCs w:val="72"/>
          <w:highlight w:val="none"/>
          <w14:textFill>
            <w14:solidFill>
              <w14:schemeClr w14:val="tx1"/>
            </w14:solidFill>
          </w14:textFill>
        </w:rPr>
      </w:pPr>
      <w:r>
        <w:rPr>
          <w:rFonts w:hint="eastAsia" w:ascii="黑体" w:hAnsi="黑体" w:eastAsia="黑体" w:cs="Times New Roman"/>
          <w:bCs/>
          <w:color w:val="000000" w:themeColor="text1"/>
          <w:sz w:val="52"/>
          <w:szCs w:val="52"/>
          <w:highlight w:val="none"/>
          <w14:textFill>
            <w14:solidFill>
              <w14:schemeClr w14:val="tx1"/>
            </w14:solidFill>
          </w14:textFill>
        </w:rPr>
        <w:t>深圳出版社与深圳市华文国际传媒有限公司联合采购常年法律顾问服务</w:t>
      </w:r>
    </w:p>
    <w:p w14:paraId="7E00CBA5">
      <w:pPr>
        <w:spacing w:line="360" w:lineRule="auto"/>
        <w:ind w:firstLine="1040"/>
        <w:jc w:val="center"/>
        <w:rPr>
          <w:rFonts w:hint="eastAsia" w:ascii="黑体" w:hAnsi="黑体" w:eastAsia="黑体" w:cs="Times New Roman"/>
          <w:bCs/>
          <w:color w:val="000000" w:themeColor="text1"/>
          <w:sz w:val="52"/>
          <w:szCs w:val="52"/>
          <w:highlight w:val="none"/>
          <w14:textFill>
            <w14:solidFill>
              <w14:schemeClr w14:val="tx1"/>
            </w14:solidFill>
          </w14:textFill>
        </w:rPr>
      </w:pPr>
      <w:r>
        <w:rPr>
          <w:rFonts w:hint="eastAsia" w:ascii="黑体" w:hAnsi="黑体" w:eastAsia="黑体" w:cs="Times New Roman"/>
          <w:bCs/>
          <w:color w:val="000000" w:themeColor="text1"/>
          <w:sz w:val="52"/>
          <w:szCs w:val="52"/>
          <w:highlight w:val="none"/>
          <w14:textFill>
            <w14:solidFill>
              <w14:schemeClr w14:val="tx1"/>
            </w14:solidFill>
          </w14:textFill>
        </w:rPr>
        <w:t>竞</w:t>
      </w:r>
    </w:p>
    <w:p w14:paraId="09A5206B">
      <w:pPr>
        <w:spacing w:line="360" w:lineRule="auto"/>
        <w:ind w:firstLine="1040"/>
        <w:jc w:val="center"/>
        <w:rPr>
          <w:rFonts w:hint="eastAsia" w:ascii="黑体" w:hAnsi="黑体" w:eastAsia="黑体" w:cs="Times New Roman"/>
          <w:bCs/>
          <w:color w:val="000000" w:themeColor="text1"/>
          <w:sz w:val="52"/>
          <w:szCs w:val="52"/>
          <w:highlight w:val="none"/>
          <w14:textFill>
            <w14:solidFill>
              <w14:schemeClr w14:val="tx1"/>
            </w14:solidFill>
          </w14:textFill>
        </w:rPr>
      </w:pPr>
      <w:r>
        <w:rPr>
          <w:rFonts w:hint="eastAsia" w:ascii="黑体" w:hAnsi="黑体" w:eastAsia="黑体" w:cs="Times New Roman"/>
          <w:bCs/>
          <w:color w:val="000000" w:themeColor="text1"/>
          <w:sz w:val="52"/>
          <w:szCs w:val="52"/>
          <w:highlight w:val="none"/>
          <w14:textFill>
            <w14:solidFill>
              <w14:schemeClr w14:val="tx1"/>
            </w14:solidFill>
          </w14:textFill>
        </w:rPr>
        <w:t>争</w:t>
      </w:r>
    </w:p>
    <w:p w14:paraId="4C099A4B">
      <w:pPr>
        <w:spacing w:line="360" w:lineRule="auto"/>
        <w:ind w:firstLine="1040"/>
        <w:jc w:val="center"/>
        <w:rPr>
          <w:rFonts w:hint="eastAsia" w:ascii="黑体" w:hAnsi="黑体" w:eastAsia="黑体" w:cs="Times New Roman"/>
          <w:bCs/>
          <w:color w:val="000000" w:themeColor="text1"/>
          <w:sz w:val="52"/>
          <w:szCs w:val="52"/>
          <w:highlight w:val="none"/>
          <w14:textFill>
            <w14:solidFill>
              <w14:schemeClr w14:val="tx1"/>
            </w14:solidFill>
          </w14:textFill>
        </w:rPr>
      </w:pPr>
      <w:r>
        <w:rPr>
          <w:rFonts w:hint="eastAsia" w:ascii="黑体" w:hAnsi="黑体" w:eastAsia="黑体" w:cs="Times New Roman"/>
          <w:bCs/>
          <w:color w:val="000000" w:themeColor="text1"/>
          <w:sz w:val="52"/>
          <w:szCs w:val="52"/>
          <w:highlight w:val="none"/>
          <w14:textFill>
            <w14:solidFill>
              <w14:schemeClr w14:val="tx1"/>
            </w14:solidFill>
          </w14:textFill>
        </w:rPr>
        <w:t>性</w:t>
      </w:r>
    </w:p>
    <w:p w14:paraId="029DDF1F">
      <w:pPr>
        <w:spacing w:line="360" w:lineRule="auto"/>
        <w:ind w:firstLine="1040"/>
        <w:jc w:val="center"/>
        <w:rPr>
          <w:rFonts w:hint="eastAsia" w:ascii="黑体" w:hAnsi="黑体" w:eastAsia="黑体" w:cs="Times New Roman"/>
          <w:bCs/>
          <w:color w:val="000000" w:themeColor="text1"/>
          <w:sz w:val="52"/>
          <w:szCs w:val="52"/>
          <w:highlight w:val="none"/>
          <w14:textFill>
            <w14:solidFill>
              <w14:schemeClr w14:val="tx1"/>
            </w14:solidFill>
          </w14:textFill>
        </w:rPr>
      </w:pPr>
      <w:r>
        <w:rPr>
          <w:rFonts w:hint="eastAsia" w:ascii="黑体" w:hAnsi="黑体" w:eastAsia="黑体" w:cs="Times New Roman"/>
          <w:bCs/>
          <w:color w:val="000000" w:themeColor="text1"/>
          <w:sz w:val="52"/>
          <w:szCs w:val="52"/>
          <w:highlight w:val="none"/>
          <w14:textFill>
            <w14:solidFill>
              <w14:schemeClr w14:val="tx1"/>
            </w14:solidFill>
          </w14:textFill>
        </w:rPr>
        <w:t>谈</w:t>
      </w:r>
    </w:p>
    <w:p w14:paraId="37877661">
      <w:pPr>
        <w:spacing w:line="360" w:lineRule="auto"/>
        <w:ind w:firstLine="1040"/>
        <w:jc w:val="center"/>
        <w:rPr>
          <w:rFonts w:hint="eastAsia" w:ascii="黑体" w:hAnsi="黑体" w:eastAsia="黑体" w:cs="Times New Roman"/>
          <w:bCs/>
          <w:color w:val="000000" w:themeColor="text1"/>
          <w:sz w:val="52"/>
          <w:szCs w:val="52"/>
          <w:highlight w:val="none"/>
          <w14:textFill>
            <w14:solidFill>
              <w14:schemeClr w14:val="tx1"/>
            </w14:solidFill>
          </w14:textFill>
        </w:rPr>
      </w:pPr>
      <w:r>
        <w:rPr>
          <w:rFonts w:hint="eastAsia" w:ascii="黑体" w:hAnsi="黑体" w:eastAsia="黑体" w:cs="Times New Roman"/>
          <w:bCs/>
          <w:color w:val="000000" w:themeColor="text1"/>
          <w:sz w:val="52"/>
          <w:szCs w:val="52"/>
          <w:highlight w:val="none"/>
          <w14:textFill>
            <w14:solidFill>
              <w14:schemeClr w14:val="tx1"/>
            </w14:solidFill>
          </w14:textFill>
        </w:rPr>
        <w:t>判</w:t>
      </w:r>
    </w:p>
    <w:p w14:paraId="62D538C2">
      <w:pPr>
        <w:spacing w:line="360" w:lineRule="auto"/>
        <w:ind w:firstLine="1040"/>
        <w:jc w:val="center"/>
        <w:rPr>
          <w:rFonts w:hint="eastAsia" w:ascii="黑体" w:hAnsi="黑体" w:eastAsia="黑体" w:cs="Times New Roman"/>
          <w:bCs/>
          <w:color w:val="000000" w:themeColor="text1"/>
          <w:sz w:val="52"/>
          <w:szCs w:val="52"/>
          <w:highlight w:val="none"/>
          <w14:textFill>
            <w14:solidFill>
              <w14:schemeClr w14:val="tx1"/>
            </w14:solidFill>
          </w14:textFill>
        </w:rPr>
      </w:pPr>
      <w:r>
        <w:rPr>
          <w:rFonts w:hint="eastAsia" w:ascii="黑体" w:hAnsi="黑体" w:eastAsia="黑体" w:cs="Times New Roman"/>
          <w:bCs/>
          <w:color w:val="000000" w:themeColor="text1"/>
          <w:sz w:val="52"/>
          <w:szCs w:val="52"/>
          <w:highlight w:val="none"/>
          <w14:textFill>
            <w14:solidFill>
              <w14:schemeClr w14:val="tx1"/>
            </w14:solidFill>
          </w14:textFill>
        </w:rPr>
        <w:t>文</w:t>
      </w:r>
    </w:p>
    <w:p w14:paraId="28EF5C4B">
      <w:pPr>
        <w:spacing w:line="360" w:lineRule="auto"/>
        <w:ind w:firstLine="1040"/>
        <w:jc w:val="center"/>
        <w:rPr>
          <w:rFonts w:hint="eastAsia" w:ascii="黑体" w:hAnsi="黑体" w:eastAsia="黑体" w:cs="Times New Roman"/>
          <w:bCs/>
          <w:color w:val="000000" w:themeColor="text1"/>
          <w:sz w:val="52"/>
          <w:szCs w:val="52"/>
          <w:highlight w:val="none"/>
          <w14:textFill>
            <w14:solidFill>
              <w14:schemeClr w14:val="tx1"/>
            </w14:solidFill>
          </w14:textFill>
        </w:rPr>
      </w:pPr>
      <w:r>
        <w:rPr>
          <w:rFonts w:hint="eastAsia" w:ascii="黑体" w:hAnsi="黑体" w:eastAsia="黑体" w:cs="Times New Roman"/>
          <w:bCs/>
          <w:color w:val="000000" w:themeColor="text1"/>
          <w:sz w:val="52"/>
          <w:szCs w:val="52"/>
          <w:highlight w:val="none"/>
          <w14:textFill>
            <w14:solidFill>
              <w14:schemeClr w14:val="tx1"/>
            </w14:solidFill>
          </w14:textFill>
        </w:rPr>
        <w:t>件</w:t>
      </w:r>
    </w:p>
    <w:p w14:paraId="01B47FB8">
      <w:pPr>
        <w:spacing w:line="360" w:lineRule="auto"/>
        <w:ind w:firstLine="640"/>
        <w:rPr>
          <w:rFonts w:ascii="仿宋_GB2312" w:cs="Times New Roman"/>
          <w:color w:val="000000" w:themeColor="text1"/>
          <w:sz w:val="32"/>
          <w:szCs w:val="32"/>
          <w:highlight w:val="none"/>
          <w14:textFill>
            <w14:solidFill>
              <w14:schemeClr w14:val="tx1"/>
            </w14:solidFill>
          </w14:textFill>
        </w:rPr>
      </w:pPr>
    </w:p>
    <w:p w14:paraId="7C5D6E56">
      <w:pPr>
        <w:spacing w:line="360" w:lineRule="auto"/>
        <w:ind w:firstLine="0" w:firstLineChars="0"/>
        <w:rPr>
          <w:rFonts w:ascii="仿宋_GB2312" w:cs="Times New Roman"/>
          <w:b/>
          <w:color w:val="000000" w:themeColor="text1"/>
          <w:sz w:val="32"/>
          <w:szCs w:val="32"/>
          <w:highlight w:val="none"/>
          <w14:textFill>
            <w14:solidFill>
              <w14:schemeClr w14:val="tx1"/>
            </w14:solidFill>
          </w14:textFill>
        </w:rPr>
      </w:pPr>
    </w:p>
    <w:p w14:paraId="7B7E2AF4">
      <w:pPr>
        <w:spacing w:line="360" w:lineRule="auto"/>
        <w:ind w:firstLine="643"/>
        <w:jc w:val="center"/>
        <w:rPr>
          <w:rFonts w:cs="Times New Roman"/>
          <w:b/>
          <w:bCs/>
          <w:color w:val="000000" w:themeColor="text1"/>
          <w:sz w:val="32"/>
          <w:szCs w:val="32"/>
          <w:highlight w:val="none"/>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1418" w:right="1134" w:bottom="1134" w:left="1418" w:header="851" w:footer="992" w:gutter="0"/>
          <w:pgNumType w:start="1"/>
          <w:cols w:space="425" w:num="1"/>
          <w:docGrid w:type="lines" w:linePitch="381" w:charSpace="0"/>
        </w:sectPr>
      </w:pPr>
      <w:r>
        <w:rPr>
          <w:rFonts w:cs="Times New Roman"/>
          <w:b/>
          <w:bCs/>
          <w:color w:val="000000" w:themeColor="text1"/>
          <w:sz w:val="32"/>
          <w:szCs w:val="32"/>
          <w:highlight w:val="none"/>
          <w14:textFill>
            <w14:solidFill>
              <w14:schemeClr w14:val="tx1"/>
            </w14:solidFill>
          </w14:textFill>
        </w:rPr>
        <w:t>(202</w:t>
      </w:r>
      <w:r>
        <w:rPr>
          <w:rFonts w:hint="eastAsia" w:cs="Times New Roman"/>
          <w:b/>
          <w:bCs/>
          <w:color w:val="000000" w:themeColor="text1"/>
          <w:sz w:val="32"/>
          <w:szCs w:val="32"/>
          <w:highlight w:val="none"/>
          <w14:textFill>
            <w14:solidFill>
              <w14:schemeClr w14:val="tx1"/>
            </w14:solidFill>
          </w14:textFill>
        </w:rPr>
        <w:t>6</w:t>
      </w:r>
      <w:r>
        <w:rPr>
          <w:rFonts w:hint="eastAsia" w:cs="Times New Roman"/>
          <w:b/>
          <w:bCs/>
          <w:color w:val="000000" w:themeColor="text1"/>
          <w:sz w:val="32"/>
          <w:szCs w:val="32"/>
          <w:highlight w:val="none"/>
          <w:lang w:val="en-US" w:eastAsia="zh-CN"/>
          <w14:textFill>
            <w14:solidFill>
              <w14:schemeClr w14:val="tx1"/>
            </w14:solidFill>
          </w14:textFill>
        </w:rPr>
        <w:t>年）</w:t>
      </w:r>
    </w:p>
    <w:p w14:paraId="3242DFF5">
      <w:pPr>
        <w:pStyle w:val="10"/>
        <w:spacing w:line="500" w:lineRule="exact"/>
        <w:ind w:firstLine="420"/>
        <w:rPr>
          <w:highlight w:val="none"/>
          <w:lang w:val="zh-CN"/>
        </w:rPr>
      </w:pPr>
    </w:p>
    <w:p w14:paraId="4A9683A8">
      <w:pPr>
        <w:widowControl/>
        <w:spacing w:line="500" w:lineRule="exact"/>
        <w:ind w:firstLine="883"/>
        <w:jc w:val="center"/>
        <w:rPr>
          <w:rFonts w:hint="eastAsia" w:ascii="宋体" w:hAnsi="宋体"/>
          <w:b/>
          <w:bCs/>
          <w:color w:val="auto"/>
          <w:sz w:val="44"/>
          <w:szCs w:val="44"/>
          <w:highlight w:val="none"/>
        </w:rPr>
      </w:pPr>
    </w:p>
    <w:p w14:paraId="0B45B314">
      <w:pPr>
        <w:widowControl/>
        <w:spacing w:line="500" w:lineRule="exact"/>
        <w:ind w:firstLine="883"/>
        <w:jc w:val="center"/>
        <w:rPr>
          <w:rFonts w:hint="eastAsia" w:ascii="宋体" w:hAnsi="宋体"/>
          <w:b/>
          <w:bCs/>
          <w:color w:val="auto"/>
          <w:sz w:val="44"/>
          <w:szCs w:val="44"/>
          <w:highlight w:val="none"/>
        </w:rPr>
      </w:pPr>
      <w:r>
        <w:rPr>
          <w:rFonts w:hint="eastAsia" w:ascii="宋体" w:hAnsi="宋体"/>
          <w:b/>
          <w:bCs/>
          <w:color w:val="auto"/>
          <w:sz w:val="44"/>
          <w:szCs w:val="44"/>
          <w:highlight w:val="none"/>
        </w:rPr>
        <w:t>目  录</w:t>
      </w:r>
    </w:p>
    <w:p w14:paraId="0BF3C116">
      <w:pPr>
        <w:pStyle w:val="16"/>
        <w:tabs>
          <w:tab w:val="right" w:leader="dot" w:pos="9638"/>
        </w:tabs>
        <w:spacing w:line="500" w:lineRule="exact"/>
        <w:ind w:firstLine="640"/>
        <w:rPr>
          <w:rFonts w:hint="eastAsia" w:ascii="仿宋" w:hAnsi="仿宋" w:eastAsia="仿宋" w:cs="仿宋"/>
          <w:color w:val="auto"/>
          <w:szCs w:val="32"/>
          <w:highlight w:val="none"/>
        </w:rPr>
      </w:pPr>
    </w:p>
    <w:p w14:paraId="79CC3AA0">
      <w:pPr>
        <w:pStyle w:val="16"/>
        <w:tabs>
          <w:tab w:val="right" w:leader="dot" w:pos="9344"/>
        </w:tabs>
        <w:ind w:firstLine="640"/>
        <w:rPr>
          <w:rFonts w:hint="eastAsia" w:asciiTheme="minorHAnsi" w:hAnsiTheme="minorHAnsi" w:eastAsiaTheme="minorEastAsia" w:cstheme="minorBidi"/>
          <w:color w:val="auto"/>
          <w:kern w:val="2"/>
          <w:sz w:val="22"/>
          <w:szCs w:val="24"/>
          <w:highlight w:val="none"/>
          <w14:ligatures w14:val="standardContextual"/>
        </w:rPr>
      </w:pPr>
      <w:r>
        <w:rPr>
          <w:rFonts w:hint="eastAsia" w:ascii="仿宋" w:hAnsi="仿宋" w:eastAsia="仿宋" w:cs="仿宋"/>
          <w:color w:val="auto"/>
          <w:szCs w:val="32"/>
          <w:highlight w:val="none"/>
        </w:rPr>
        <w:fldChar w:fldCharType="begin"/>
      </w:r>
      <w:r>
        <w:rPr>
          <w:rFonts w:hint="eastAsia" w:ascii="仿宋" w:hAnsi="仿宋" w:eastAsia="仿宋" w:cs="仿宋"/>
          <w:color w:val="auto"/>
          <w:szCs w:val="32"/>
          <w:highlight w:val="none"/>
        </w:rPr>
        <w:instrText xml:space="preserve"> TOC \o "1-1" \h \z \u </w:instrText>
      </w:r>
      <w:r>
        <w:rPr>
          <w:rFonts w:hint="eastAsia" w:ascii="仿宋" w:hAnsi="仿宋" w:eastAsia="仿宋" w:cs="仿宋"/>
          <w:color w:val="auto"/>
          <w:szCs w:val="32"/>
          <w:highlight w:val="none"/>
        </w:rPr>
        <w:fldChar w:fldCharType="separate"/>
      </w:r>
      <w:r>
        <w:rPr>
          <w:color w:val="auto"/>
          <w:highlight w:val="none"/>
        </w:rPr>
        <w:fldChar w:fldCharType="begin"/>
      </w:r>
      <w:r>
        <w:rPr>
          <w:color w:val="auto"/>
          <w:highlight w:val="none"/>
        </w:rPr>
        <w:instrText xml:space="preserve"> HYPERLINK \l "_Toc204764238" </w:instrText>
      </w:r>
      <w:r>
        <w:rPr>
          <w:color w:val="auto"/>
          <w:highlight w:val="none"/>
        </w:rPr>
        <w:fldChar w:fldCharType="separate"/>
      </w:r>
      <w:r>
        <w:rPr>
          <w:rStyle w:val="25"/>
          <w:rFonts w:hint="eastAsia"/>
          <w:color w:val="auto"/>
          <w:highlight w:val="none"/>
        </w:rPr>
        <w:t>第一章  采购公告</w:t>
      </w:r>
      <w:r>
        <w:rPr>
          <w:rFonts w:hint="eastAsia"/>
          <w:color w:val="auto"/>
          <w:highlight w:val="none"/>
        </w:rPr>
        <w:tab/>
      </w:r>
      <w:r>
        <w:rPr>
          <w:rFonts w:hint="eastAsia"/>
          <w:color w:val="auto"/>
          <w:highlight w:val="none"/>
          <w:lang w:val="en-US" w:eastAsia="zh-CN"/>
        </w:rPr>
        <w:t>2</w:t>
      </w:r>
      <w:r>
        <w:rPr>
          <w:rFonts w:hint="eastAsia"/>
          <w:color w:val="auto"/>
          <w:highlight w:val="none"/>
        </w:rPr>
        <w:fldChar w:fldCharType="end"/>
      </w:r>
    </w:p>
    <w:p w14:paraId="2AF1FDB8">
      <w:pPr>
        <w:pStyle w:val="16"/>
        <w:tabs>
          <w:tab w:val="right" w:leader="dot" w:pos="9344"/>
        </w:tabs>
        <w:ind w:firstLine="640"/>
        <w:rPr>
          <w:rFonts w:hint="eastAsia" w:asciiTheme="minorHAnsi" w:hAnsiTheme="minorHAnsi" w:eastAsiaTheme="minorEastAsia" w:cstheme="minorBidi"/>
          <w:color w:val="auto"/>
          <w:kern w:val="2"/>
          <w:sz w:val="22"/>
          <w:szCs w:val="24"/>
          <w:highlight w:val="none"/>
          <w14:ligatures w14:val="standardContextual"/>
        </w:rPr>
      </w:pPr>
      <w:r>
        <w:rPr>
          <w:color w:val="auto"/>
          <w:highlight w:val="none"/>
        </w:rPr>
        <w:fldChar w:fldCharType="begin"/>
      </w:r>
      <w:r>
        <w:rPr>
          <w:color w:val="auto"/>
          <w:highlight w:val="none"/>
        </w:rPr>
        <w:instrText xml:space="preserve"> HYPERLINK \l "_Toc204764239" </w:instrText>
      </w:r>
      <w:r>
        <w:rPr>
          <w:color w:val="auto"/>
          <w:highlight w:val="none"/>
        </w:rPr>
        <w:fldChar w:fldCharType="separate"/>
      </w:r>
      <w:r>
        <w:rPr>
          <w:rStyle w:val="25"/>
          <w:rFonts w:hint="eastAsia"/>
          <w:color w:val="auto"/>
          <w:highlight w:val="none"/>
        </w:rPr>
        <w:t xml:space="preserve">第二章  </w:t>
      </w:r>
      <w:r>
        <w:rPr>
          <w:rStyle w:val="25"/>
          <w:rFonts w:hint="eastAsia"/>
          <w:color w:val="auto"/>
          <w:highlight w:val="none"/>
          <w:lang w:val="en-US" w:eastAsia="zh-CN"/>
        </w:rPr>
        <w:t>供应商</w:t>
      </w:r>
      <w:r>
        <w:rPr>
          <w:rStyle w:val="25"/>
          <w:rFonts w:hint="eastAsia"/>
          <w:color w:val="auto"/>
          <w:highlight w:val="none"/>
        </w:rPr>
        <w:t>须知</w:t>
      </w:r>
      <w:r>
        <w:rPr>
          <w:rFonts w:hint="eastAsia"/>
          <w:color w:val="auto"/>
          <w:highlight w:val="none"/>
        </w:rPr>
        <w:tab/>
      </w:r>
      <w:r>
        <w:rPr>
          <w:rFonts w:hint="eastAsia"/>
          <w:color w:val="auto"/>
          <w:highlight w:val="none"/>
          <w:lang w:val="en-US" w:eastAsia="zh-CN"/>
        </w:rPr>
        <w:t>8</w:t>
      </w:r>
      <w:r>
        <w:rPr>
          <w:rFonts w:hint="eastAsia"/>
          <w:color w:val="auto"/>
          <w:highlight w:val="none"/>
        </w:rPr>
        <w:fldChar w:fldCharType="end"/>
      </w:r>
    </w:p>
    <w:p w14:paraId="18039627">
      <w:pPr>
        <w:pStyle w:val="16"/>
        <w:tabs>
          <w:tab w:val="right" w:leader="dot" w:pos="9344"/>
        </w:tabs>
        <w:ind w:firstLine="640"/>
        <w:rPr>
          <w:rFonts w:hint="eastAsia" w:eastAsia="宋体" w:asciiTheme="minorHAnsi" w:hAnsiTheme="minorHAnsi" w:cstheme="minorBidi"/>
          <w:color w:val="auto"/>
          <w:kern w:val="2"/>
          <w:sz w:val="22"/>
          <w:szCs w:val="24"/>
          <w:highlight w:val="none"/>
          <w:lang w:val="en-US" w:eastAsia="zh-CN"/>
          <w14:ligatures w14:val="standardContextual"/>
        </w:rPr>
      </w:pPr>
      <w:r>
        <w:rPr>
          <w:color w:val="auto"/>
          <w:highlight w:val="none"/>
        </w:rPr>
        <w:fldChar w:fldCharType="begin"/>
      </w:r>
      <w:r>
        <w:rPr>
          <w:color w:val="auto"/>
          <w:highlight w:val="none"/>
        </w:rPr>
        <w:instrText xml:space="preserve"> HYPERLINK \l "_Toc204764241" </w:instrText>
      </w:r>
      <w:r>
        <w:rPr>
          <w:color w:val="auto"/>
          <w:highlight w:val="none"/>
        </w:rPr>
        <w:fldChar w:fldCharType="separate"/>
      </w:r>
      <w:r>
        <w:rPr>
          <w:rStyle w:val="25"/>
          <w:rFonts w:hint="eastAsia"/>
          <w:color w:val="auto"/>
          <w:highlight w:val="none"/>
        </w:rPr>
        <w:t>第</w:t>
      </w:r>
      <w:r>
        <w:rPr>
          <w:rStyle w:val="25"/>
          <w:rFonts w:hint="eastAsia"/>
          <w:color w:val="auto"/>
          <w:highlight w:val="none"/>
          <w:lang w:val="en-US" w:eastAsia="zh-CN"/>
        </w:rPr>
        <w:t>三</w:t>
      </w:r>
      <w:r>
        <w:rPr>
          <w:rStyle w:val="25"/>
          <w:rFonts w:hint="eastAsia"/>
          <w:color w:val="auto"/>
          <w:highlight w:val="none"/>
        </w:rPr>
        <w:t xml:space="preserve">章 </w:t>
      </w:r>
      <w:r>
        <w:rPr>
          <w:rStyle w:val="25"/>
          <w:rFonts w:hint="eastAsia"/>
          <w:color w:val="auto"/>
          <w:highlight w:val="none"/>
          <w:lang w:val="en-US" w:eastAsia="zh-CN"/>
        </w:rPr>
        <w:t xml:space="preserve"> </w:t>
      </w:r>
      <w:r>
        <w:rPr>
          <w:rStyle w:val="25"/>
          <w:rFonts w:hint="eastAsia"/>
          <w:color w:val="auto"/>
          <w:highlight w:val="none"/>
        </w:rPr>
        <w:t>响应文件</w:t>
      </w:r>
      <w:r>
        <w:rPr>
          <w:rFonts w:hint="eastAsia"/>
          <w:color w:val="auto"/>
          <w:highlight w:val="none"/>
        </w:rPr>
        <w:tab/>
      </w:r>
      <w:r>
        <w:rPr>
          <w:rFonts w:hint="eastAsia"/>
          <w:color w:val="auto"/>
          <w:highlight w:val="none"/>
          <w:lang w:val="en-US" w:eastAsia="zh-CN"/>
        </w:rPr>
        <w:t>1</w:t>
      </w:r>
      <w:r>
        <w:rPr>
          <w:rFonts w:hint="eastAsia"/>
          <w:color w:val="auto"/>
          <w:highlight w:val="none"/>
        </w:rPr>
        <w:fldChar w:fldCharType="end"/>
      </w:r>
      <w:r>
        <w:rPr>
          <w:rFonts w:hint="eastAsia"/>
          <w:color w:val="auto"/>
          <w:highlight w:val="none"/>
          <w:lang w:val="en-US" w:eastAsia="zh-CN"/>
        </w:rPr>
        <w:t>0</w:t>
      </w:r>
    </w:p>
    <w:p w14:paraId="5CA401B3">
      <w:pPr>
        <w:pStyle w:val="16"/>
        <w:tabs>
          <w:tab w:val="right" w:leader="dot" w:pos="9344"/>
        </w:tabs>
        <w:ind w:firstLine="640"/>
        <w:rPr>
          <w:rFonts w:hint="eastAsia" w:eastAsia="宋体" w:asciiTheme="minorHAnsi" w:hAnsiTheme="minorHAnsi" w:cstheme="minorBidi"/>
          <w:color w:val="auto"/>
          <w:kern w:val="2"/>
          <w:sz w:val="22"/>
          <w:szCs w:val="24"/>
          <w:highlight w:val="none"/>
          <w:lang w:val="en-US" w:eastAsia="zh-CN"/>
          <w14:ligatures w14:val="standardContextual"/>
        </w:rPr>
      </w:pPr>
      <w:r>
        <w:rPr>
          <w:color w:val="auto"/>
          <w:highlight w:val="none"/>
        </w:rPr>
        <w:fldChar w:fldCharType="begin"/>
      </w:r>
      <w:r>
        <w:rPr>
          <w:color w:val="auto"/>
          <w:highlight w:val="none"/>
        </w:rPr>
        <w:instrText xml:space="preserve"> HYPERLINK \l "_Toc204764242" </w:instrText>
      </w:r>
      <w:r>
        <w:rPr>
          <w:color w:val="auto"/>
          <w:highlight w:val="none"/>
        </w:rPr>
        <w:fldChar w:fldCharType="separate"/>
      </w:r>
      <w:r>
        <w:rPr>
          <w:rStyle w:val="25"/>
          <w:rFonts w:hint="eastAsia"/>
          <w:color w:val="auto"/>
          <w:highlight w:val="none"/>
        </w:rPr>
        <w:t>第</w:t>
      </w:r>
      <w:r>
        <w:rPr>
          <w:rStyle w:val="25"/>
          <w:rFonts w:hint="eastAsia"/>
          <w:color w:val="auto"/>
          <w:highlight w:val="none"/>
          <w:lang w:val="en-US" w:eastAsia="zh-CN"/>
        </w:rPr>
        <w:t>四</w:t>
      </w:r>
      <w:r>
        <w:rPr>
          <w:rStyle w:val="25"/>
          <w:rFonts w:hint="eastAsia"/>
          <w:color w:val="auto"/>
          <w:highlight w:val="none"/>
        </w:rPr>
        <w:t xml:space="preserve">章 </w:t>
      </w:r>
      <w:r>
        <w:rPr>
          <w:rStyle w:val="25"/>
          <w:rFonts w:hint="eastAsia"/>
          <w:color w:val="auto"/>
          <w:highlight w:val="none"/>
          <w:lang w:val="en-US" w:eastAsia="zh-CN"/>
        </w:rPr>
        <w:t xml:space="preserve"> </w:t>
      </w:r>
      <w:r>
        <w:rPr>
          <w:rStyle w:val="25"/>
          <w:rFonts w:hint="eastAsia"/>
          <w:color w:val="auto"/>
          <w:highlight w:val="none"/>
        </w:rPr>
        <w:t>评审标准</w:t>
      </w:r>
      <w:r>
        <w:rPr>
          <w:rFonts w:hint="eastAsia"/>
          <w:color w:val="auto"/>
          <w:highlight w:val="none"/>
        </w:rPr>
        <w:tab/>
      </w:r>
      <w:r>
        <w:rPr>
          <w:rFonts w:hint="eastAsia"/>
          <w:color w:val="auto"/>
          <w:highlight w:val="none"/>
          <w:lang w:val="en-US" w:eastAsia="zh-CN"/>
        </w:rPr>
        <w:t>1</w:t>
      </w:r>
      <w:r>
        <w:rPr>
          <w:rFonts w:hint="eastAsia"/>
          <w:color w:val="auto"/>
          <w:highlight w:val="none"/>
        </w:rPr>
        <w:fldChar w:fldCharType="end"/>
      </w:r>
      <w:r>
        <w:rPr>
          <w:rFonts w:hint="eastAsia"/>
          <w:color w:val="auto"/>
          <w:highlight w:val="none"/>
          <w:lang w:val="en-US" w:eastAsia="zh-CN"/>
        </w:rPr>
        <w:t>4</w:t>
      </w:r>
    </w:p>
    <w:p w14:paraId="1AE21E53">
      <w:pPr>
        <w:pStyle w:val="16"/>
        <w:tabs>
          <w:tab w:val="right" w:leader="dot" w:pos="9344"/>
        </w:tabs>
        <w:ind w:firstLine="640"/>
        <w:rPr>
          <w:rFonts w:hint="eastAsia" w:eastAsia="宋体" w:asciiTheme="minorHAnsi" w:hAnsiTheme="minorHAnsi" w:cstheme="minorBidi"/>
          <w:color w:val="auto"/>
          <w:kern w:val="2"/>
          <w:sz w:val="22"/>
          <w:szCs w:val="24"/>
          <w:highlight w:val="none"/>
          <w:lang w:val="en-US" w:eastAsia="zh-CN"/>
          <w14:ligatures w14:val="standardContextual"/>
        </w:rPr>
      </w:pPr>
      <w:r>
        <w:rPr>
          <w:color w:val="auto"/>
          <w:highlight w:val="none"/>
        </w:rPr>
        <w:fldChar w:fldCharType="begin"/>
      </w:r>
      <w:r>
        <w:rPr>
          <w:color w:val="auto"/>
          <w:highlight w:val="none"/>
        </w:rPr>
        <w:instrText xml:space="preserve"> HYPERLINK \l "_Toc204764243" </w:instrText>
      </w:r>
      <w:r>
        <w:rPr>
          <w:color w:val="auto"/>
          <w:highlight w:val="none"/>
        </w:rPr>
        <w:fldChar w:fldCharType="separate"/>
      </w:r>
      <w:r>
        <w:rPr>
          <w:rStyle w:val="25"/>
          <w:rFonts w:hint="eastAsia"/>
          <w:color w:val="auto"/>
          <w:highlight w:val="none"/>
        </w:rPr>
        <w:t>第</w:t>
      </w:r>
      <w:r>
        <w:rPr>
          <w:rStyle w:val="25"/>
          <w:rFonts w:hint="eastAsia"/>
          <w:color w:val="auto"/>
          <w:highlight w:val="none"/>
          <w:lang w:val="en-US" w:eastAsia="zh-CN"/>
        </w:rPr>
        <w:t>五</w:t>
      </w:r>
      <w:r>
        <w:rPr>
          <w:rStyle w:val="25"/>
          <w:rFonts w:hint="eastAsia"/>
          <w:color w:val="auto"/>
          <w:highlight w:val="none"/>
        </w:rPr>
        <w:t xml:space="preserve">章 </w:t>
      </w:r>
      <w:r>
        <w:rPr>
          <w:rStyle w:val="25"/>
          <w:rFonts w:hint="eastAsia"/>
          <w:color w:val="auto"/>
          <w:highlight w:val="none"/>
          <w:lang w:val="en-US" w:eastAsia="zh-CN"/>
        </w:rPr>
        <w:t xml:space="preserve"> </w:t>
      </w:r>
      <w:r>
        <w:rPr>
          <w:rStyle w:val="25"/>
          <w:rFonts w:hint="eastAsia"/>
          <w:color w:val="auto"/>
          <w:highlight w:val="none"/>
        </w:rPr>
        <w:t>合同签订</w:t>
      </w:r>
      <w:r>
        <w:rPr>
          <w:rFonts w:hint="eastAsia"/>
          <w:color w:val="auto"/>
          <w:highlight w:val="none"/>
        </w:rPr>
        <w:tab/>
      </w:r>
      <w:r>
        <w:rPr>
          <w:rFonts w:hint="eastAsia"/>
          <w:color w:val="auto"/>
          <w:highlight w:val="none"/>
          <w:lang w:val="en-US" w:eastAsia="zh-CN"/>
        </w:rPr>
        <w:t>2</w:t>
      </w:r>
      <w:r>
        <w:rPr>
          <w:rFonts w:hint="eastAsia"/>
          <w:color w:val="auto"/>
          <w:highlight w:val="none"/>
        </w:rPr>
        <w:fldChar w:fldCharType="end"/>
      </w:r>
      <w:r>
        <w:rPr>
          <w:rFonts w:hint="eastAsia"/>
          <w:color w:val="auto"/>
          <w:highlight w:val="none"/>
          <w:lang w:val="en-US" w:eastAsia="zh-CN"/>
        </w:rPr>
        <w:t>0</w:t>
      </w:r>
    </w:p>
    <w:p w14:paraId="7FA8DD1A">
      <w:pPr>
        <w:widowControl/>
        <w:spacing w:line="500" w:lineRule="exact"/>
        <w:ind w:firstLine="640"/>
        <w:jc w:val="center"/>
        <w:rPr>
          <w:rFonts w:hint="eastAsia" w:ascii="仿宋_GB2312" w:hAnsi="宋体"/>
          <w:color w:val="auto"/>
          <w:kern w:val="0"/>
          <w:sz w:val="32"/>
          <w:szCs w:val="32"/>
          <w:highlight w:val="none"/>
        </w:rPr>
        <w:sectPr>
          <w:footerReference r:id="rId11" w:type="default"/>
          <w:pgSz w:w="11906" w:h="16838"/>
          <w:pgMar w:top="1418" w:right="1134" w:bottom="1134" w:left="1418" w:header="851" w:footer="992" w:gutter="0"/>
          <w:pgNumType w:fmt="decimal" w:start="1"/>
          <w:cols w:space="425" w:num="1"/>
          <w:docGrid w:type="lines" w:linePitch="326" w:charSpace="0"/>
        </w:sectPr>
      </w:pPr>
      <w:r>
        <w:rPr>
          <w:rFonts w:hint="eastAsia" w:ascii="仿宋" w:hAnsi="仿宋" w:eastAsia="仿宋" w:cs="仿宋"/>
          <w:color w:val="auto"/>
          <w:kern w:val="0"/>
          <w:sz w:val="32"/>
          <w:szCs w:val="32"/>
          <w:highlight w:val="none"/>
        </w:rPr>
        <w:fldChar w:fldCharType="end"/>
      </w:r>
    </w:p>
    <w:p w14:paraId="0C371D0B">
      <w:pPr>
        <w:pStyle w:val="2"/>
        <w:spacing w:line="500" w:lineRule="exact"/>
        <w:ind w:firstLine="880"/>
        <w:rPr>
          <w:rFonts w:cs="Times New Roman"/>
          <w:color w:val="auto"/>
          <w:highlight w:val="none"/>
        </w:rPr>
        <w:sectPr>
          <w:footerReference r:id="rId12" w:type="default"/>
          <w:type w:val="continuous"/>
          <w:pgSz w:w="11906" w:h="16838"/>
          <w:pgMar w:top="1440" w:right="1800" w:bottom="1440" w:left="1800" w:header="851" w:footer="992" w:gutter="0"/>
          <w:pgNumType w:fmt="decimal"/>
          <w:cols w:space="425" w:num="1"/>
          <w:docGrid w:type="lines" w:linePitch="312" w:charSpace="0"/>
        </w:sectPr>
      </w:pPr>
    </w:p>
    <w:p w14:paraId="3961E65E">
      <w:pPr>
        <w:pStyle w:val="2"/>
        <w:ind w:firstLine="140" w:firstLineChars="32"/>
        <w:rPr>
          <w:highlight w:val="none"/>
        </w:rPr>
      </w:pPr>
      <w:bookmarkStart w:id="0" w:name="_Toc204764238"/>
      <w:r>
        <w:rPr>
          <w:highlight w:val="none"/>
        </w:rPr>
        <w:t>第一章  采购公告</w:t>
      </w:r>
      <w:bookmarkEnd w:id="0"/>
    </w:p>
    <w:p w14:paraId="7BCF86E7">
      <w:pPr>
        <w:ind w:firstLine="560"/>
        <w:rPr>
          <w:sz w:val="32"/>
          <w:szCs w:val="32"/>
          <w:highlight w:val="none"/>
        </w:rPr>
      </w:pPr>
      <w:r>
        <w:rPr>
          <w:rFonts w:hint="eastAsia"/>
          <w:sz w:val="32"/>
          <w:szCs w:val="32"/>
          <w:highlight w:val="none"/>
        </w:rPr>
        <w:t>深圳出版社与深圳市华文国际传媒有限公司联合采购</w:t>
      </w:r>
      <w:r>
        <w:rPr>
          <w:rFonts w:hint="eastAsia"/>
          <w:sz w:val="32"/>
          <w:szCs w:val="32"/>
          <w:highlight w:val="none"/>
          <w:u w:val="single"/>
          <w:lang w:val="en-US" w:eastAsia="zh-CN"/>
        </w:rPr>
        <w:t>常年法律顾问</w:t>
      </w:r>
      <w:r>
        <w:rPr>
          <w:rFonts w:hint="eastAsia"/>
          <w:sz w:val="32"/>
          <w:szCs w:val="32"/>
          <w:highlight w:val="none"/>
          <w:u w:val="single"/>
        </w:rPr>
        <w:t>服务</w:t>
      </w:r>
      <w:r>
        <w:rPr>
          <w:rFonts w:hint="eastAsia"/>
          <w:sz w:val="32"/>
          <w:szCs w:val="32"/>
          <w:highlight w:val="none"/>
          <w:u w:val="single"/>
          <w:lang w:val="en-US" w:eastAsia="zh-CN"/>
        </w:rPr>
        <w:t>项目</w:t>
      </w:r>
      <w:r>
        <w:rPr>
          <w:rFonts w:hint="eastAsia"/>
          <w:sz w:val="32"/>
          <w:szCs w:val="32"/>
          <w:highlight w:val="none"/>
        </w:rPr>
        <w:t xml:space="preserve">，具备竞争性谈判采购条件，现进行公开采购，欢迎符合资格的供应商参加本次竞争性谈判采购活动。 </w:t>
      </w:r>
    </w:p>
    <w:p w14:paraId="63773531">
      <w:pPr>
        <w:ind w:firstLine="560"/>
        <w:rPr>
          <w:rFonts w:hint="eastAsia" w:ascii="黑体" w:hAnsi="黑体" w:eastAsia="黑体" w:cs="黑体"/>
          <w:sz w:val="32"/>
          <w:szCs w:val="32"/>
          <w:highlight w:val="none"/>
        </w:rPr>
      </w:pPr>
      <w:r>
        <w:rPr>
          <w:rFonts w:hint="eastAsia" w:ascii="黑体" w:hAnsi="黑体" w:eastAsia="黑体" w:cs="黑体"/>
          <w:sz w:val="32"/>
          <w:szCs w:val="32"/>
          <w:highlight w:val="none"/>
        </w:rPr>
        <w:t>一、项目简介</w:t>
      </w:r>
    </w:p>
    <w:p w14:paraId="784F3A70">
      <w:pPr>
        <w:pStyle w:val="42"/>
        <w:numPr>
          <w:ilvl w:val="0"/>
          <w:numId w:val="1"/>
        </w:numPr>
        <w:ind w:firstLineChars="0"/>
        <w:rPr>
          <w:sz w:val="32"/>
          <w:szCs w:val="32"/>
          <w:highlight w:val="none"/>
        </w:rPr>
      </w:pPr>
      <w:r>
        <w:rPr>
          <w:rFonts w:hint="eastAsia" w:ascii="黑体" w:hAnsi="黑体" w:eastAsia="黑体" w:cs="楷体"/>
          <w:sz w:val="32"/>
          <w:szCs w:val="32"/>
          <w:highlight w:val="none"/>
        </w:rPr>
        <w:t>采购人</w:t>
      </w:r>
      <w:r>
        <w:rPr>
          <w:rFonts w:hint="eastAsia" w:ascii="楷体" w:hAnsi="楷体" w:eastAsia="楷体" w:cs="楷体"/>
          <w:sz w:val="32"/>
          <w:szCs w:val="32"/>
          <w:highlight w:val="none"/>
        </w:rPr>
        <w:t>：</w:t>
      </w:r>
      <w:r>
        <w:rPr>
          <w:rFonts w:hint="eastAsia"/>
          <w:sz w:val="32"/>
          <w:szCs w:val="32"/>
          <w:highlight w:val="none"/>
        </w:rPr>
        <w:t>深圳出版社有限责任公司</w:t>
      </w:r>
      <w:r>
        <w:rPr>
          <w:rFonts w:hint="eastAsia"/>
          <w:sz w:val="32"/>
          <w:szCs w:val="32"/>
          <w:highlight w:val="none"/>
          <w:lang w:eastAsia="zh-CN"/>
        </w:rPr>
        <w:t>、</w:t>
      </w:r>
      <w:r>
        <w:rPr>
          <w:rFonts w:hint="eastAsia"/>
          <w:sz w:val="32"/>
          <w:szCs w:val="32"/>
          <w:highlight w:val="none"/>
        </w:rPr>
        <w:t>深圳市华文国</w:t>
      </w:r>
    </w:p>
    <w:p w14:paraId="6F407A94">
      <w:pPr>
        <w:pStyle w:val="42"/>
        <w:numPr>
          <w:numId w:val="0"/>
        </w:numPr>
        <w:rPr>
          <w:sz w:val="32"/>
          <w:szCs w:val="32"/>
          <w:highlight w:val="none"/>
        </w:rPr>
      </w:pPr>
      <w:r>
        <w:rPr>
          <w:rFonts w:hint="eastAsia"/>
          <w:sz w:val="32"/>
          <w:szCs w:val="32"/>
          <w:highlight w:val="none"/>
        </w:rPr>
        <w:t>际传媒有限公司</w:t>
      </w:r>
    </w:p>
    <w:p w14:paraId="17AB818B">
      <w:pPr>
        <w:pStyle w:val="42"/>
        <w:numPr>
          <w:ilvl w:val="0"/>
          <w:numId w:val="1"/>
        </w:numPr>
        <w:ind w:firstLineChars="0"/>
        <w:rPr>
          <w:rFonts w:hint="eastAsia"/>
          <w:sz w:val="32"/>
          <w:szCs w:val="32"/>
          <w:highlight w:val="none"/>
        </w:rPr>
      </w:pPr>
      <w:r>
        <w:rPr>
          <w:rFonts w:hint="eastAsia" w:ascii="黑体" w:hAnsi="黑体" w:eastAsia="黑体" w:cs="楷体"/>
          <w:sz w:val="32"/>
          <w:szCs w:val="32"/>
          <w:highlight w:val="none"/>
        </w:rPr>
        <w:t>项目名称</w:t>
      </w:r>
      <w:r>
        <w:rPr>
          <w:rFonts w:hint="eastAsia" w:ascii="楷体" w:hAnsi="楷体" w:eastAsia="楷体" w:cs="楷体"/>
          <w:sz w:val="32"/>
          <w:szCs w:val="32"/>
          <w:highlight w:val="none"/>
        </w:rPr>
        <w:t>：</w:t>
      </w:r>
      <w:r>
        <w:rPr>
          <w:rFonts w:hint="eastAsia"/>
          <w:sz w:val="32"/>
          <w:szCs w:val="32"/>
          <w:highlight w:val="none"/>
          <w:lang w:val="en-US" w:eastAsia="zh-CN"/>
        </w:rPr>
        <w:t>深圳出版社有限责任公司、</w:t>
      </w:r>
      <w:r>
        <w:rPr>
          <w:rFonts w:hint="eastAsia"/>
          <w:sz w:val="32"/>
          <w:szCs w:val="32"/>
          <w:highlight w:val="none"/>
        </w:rPr>
        <w:t>深圳市华文国际传媒有限公司</w:t>
      </w:r>
      <w:r>
        <w:rPr>
          <w:rFonts w:hint="eastAsia"/>
          <w:sz w:val="32"/>
          <w:szCs w:val="32"/>
          <w:highlight w:val="none"/>
          <w:lang w:val="en-US" w:eastAsia="zh-CN"/>
        </w:rPr>
        <w:t>2年常年法律顾问</w:t>
      </w:r>
      <w:r>
        <w:rPr>
          <w:rFonts w:hint="eastAsia"/>
          <w:sz w:val="32"/>
          <w:szCs w:val="32"/>
          <w:highlight w:val="none"/>
        </w:rPr>
        <w:t>服务</w:t>
      </w:r>
    </w:p>
    <w:p w14:paraId="1EED8F1A">
      <w:pPr>
        <w:keepNext w:val="0"/>
        <w:pageBreakBefore w:val="0"/>
        <w:shd w:val="clear"/>
        <w:kinsoku/>
        <w:wordWrap/>
        <w:overflowPunct/>
        <w:topLinePunct w:val="0"/>
        <w:autoSpaceDE/>
        <w:autoSpaceDN/>
        <w:bidi w:val="0"/>
        <w:adjustRightInd/>
        <w:snapToGrid/>
        <w:spacing w:line="520" w:lineRule="exact"/>
        <w:ind w:firstLine="640" w:firstLineChars="200"/>
        <w:textAlignment w:val="auto"/>
        <w:rPr>
          <w:rFonts w:hint="eastAsia" w:ascii="楷体" w:hAnsi="楷体" w:eastAsia="仿宋" w:cs="楷体"/>
          <w:sz w:val="32"/>
          <w:szCs w:val="32"/>
          <w:highlight w:val="none"/>
          <w:lang w:eastAsia="zh-CN"/>
        </w:rPr>
      </w:pPr>
      <w:r>
        <w:rPr>
          <w:rFonts w:hint="eastAsia" w:ascii="仿宋" w:hAnsi="仿宋" w:eastAsia="仿宋" w:cs="仿宋"/>
          <w:color w:val="auto"/>
          <w:sz w:val="32"/>
          <w:szCs w:val="32"/>
          <w:highlight w:val="none"/>
          <w:lang w:val="en-US" w:eastAsia="zh-CN"/>
        </w:rPr>
        <w:t>采购需求：</w:t>
      </w:r>
      <w:r>
        <w:rPr>
          <w:rFonts w:hint="eastAsia" w:ascii="仿宋" w:hAnsi="仿宋" w:eastAsia="仿宋" w:cs="仿宋"/>
          <w:sz w:val="32"/>
          <w:szCs w:val="32"/>
          <w:highlight w:val="none"/>
        </w:rPr>
        <w:t>需要采购</w:t>
      </w: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年的</w:t>
      </w:r>
      <w:r>
        <w:rPr>
          <w:rFonts w:hint="eastAsia" w:ascii="仿宋" w:hAnsi="仿宋" w:eastAsia="仿宋" w:cs="仿宋"/>
          <w:sz w:val="32"/>
          <w:szCs w:val="32"/>
          <w:highlight w:val="none"/>
          <w:lang w:val="en-US" w:eastAsia="zh-CN"/>
        </w:rPr>
        <w:t>常年法律顾问</w:t>
      </w:r>
      <w:r>
        <w:rPr>
          <w:rFonts w:hint="eastAsia" w:ascii="仿宋" w:hAnsi="仿宋" w:eastAsia="仿宋" w:cs="仿宋"/>
          <w:sz w:val="32"/>
          <w:szCs w:val="32"/>
          <w:highlight w:val="none"/>
        </w:rPr>
        <w:t>服务</w:t>
      </w:r>
      <w:r>
        <w:rPr>
          <w:rFonts w:hint="eastAsia" w:ascii="仿宋" w:hAnsi="仿宋" w:eastAsia="仿宋" w:cs="仿宋"/>
          <w:sz w:val="32"/>
          <w:szCs w:val="32"/>
          <w:highlight w:val="none"/>
          <w:lang w:eastAsia="zh-CN"/>
        </w:rPr>
        <w:t>。</w:t>
      </w:r>
    </w:p>
    <w:p w14:paraId="6E1C7824">
      <w:pPr>
        <w:keepNext w:val="0"/>
        <w:pageBreakBefore w:val="0"/>
        <w:shd w:val="clear"/>
        <w:kinsoku/>
        <w:wordWrap/>
        <w:overflowPunct/>
        <w:topLinePunct w:val="0"/>
        <w:autoSpaceDE/>
        <w:autoSpaceDN/>
        <w:bidi w:val="0"/>
        <w:adjustRightInd/>
        <w:snapToGrid/>
        <w:spacing w:line="520" w:lineRule="exact"/>
        <w:ind w:firstLine="643" w:firstLineChars="200"/>
        <w:textAlignment w:val="auto"/>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lang w:val="en-US" w:eastAsia="zh-CN"/>
        </w:rPr>
        <w:t>深圳出版社服务内容：</w:t>
      </w:r>
      <w:r>
        <w:rPr>
          <w:rFonts w:hint="eastAsia" w:ascii="仿宋" w:hAnsi="仿宋" w:eastAsia="仿宋" w:cs="仿宋"/>
          <w:color w:val="auto"/>
          <w:sz w:val="32"/>
          <w:szCs w:val="32"/>
          <w:highlight w:val="none"/>
        </w:rPr>
        <w:t>参与企业章程</w:t>
      </w:r>
      <w:r>
        <w:rPr>
          <w:rFonts w:hint="eastAsia" w:ascii="仿宋" w:hAnsi="仿宋" w:eastAsia="仿宋" w:cs="仿宋"/>
          <w:color w:val="auto"/>
          <w:sz w:val="32"/>
          <w:szCs w:val="32"/>
          <w:highlight w:val="none"/>
          <w:lang w:val="en-US" w:eastAsia="zh-CN"/>
        </w:rPr>
        <w:t>和</w:t>
      </w:r>
      <w:r>
        <w:rPr>
          <w:rFonts w:hint="eastAsia" w:ascii="仿宋" w:hAnsi="仿宋" w:eastAsia="仿宋" w:cs="仿宋"/>
          <w:color w:val="auto"/>
          <w:sz w:val="32"/>
          <w:szCs w:val="32"/>
          <w:highlight w:val="none"/>
        </w:rPr>
        <w:t>董事会</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总经理办公会</w:t>
      </w:r>
      <w:r>
        <w:rPr>
          <w:rFonts w:hint="eastAsia" w:ascii="仿宋" w:hAnsi="仿宋" w:eastAsia="仿宋" w:cs="仿宋"/>
          <w:color w:val="auto"/>
          <w:sz w:val="32"/>
          <w:szCs w:val="32"/>
          <w:highlight w:val="none"/>
        </w:rPr>
        <w:t>运行规则的制定和修改；为企业在经营、管理、投资理财等方面的重大决策提出法律咨询意见</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对企业重要经营决策、规章制度、合同进行法律审核；为企业并购上市、产权转让、破产重整、和解及清算等重大事项提出法律意见；组织开展合规管理、法律风险管理、知识产权管理、</w:t>
      </w:r>
      <w:r>
        <w:rPr>
          <w:rFonts w:hint="eastAsia" w:ascii="仿宋" w:hAnsi="仿宋" w:eastAsia="仿宋" w:cs="仿宋"/>
          <w:color w:val="auto"/>
          <w:sz w:val="32"/>
          <w:szCs w:val="32"/>
          <w:highlight w:val="none"/>
          <w:lang w:eastAsia="zh-CN"/>
        </w:rPr>
        <w:t>法治宣传教育</w:t>
      </w:r>
      <w:r>
        <w:rPr>
          <w:rFonts w:hint="eastAsia" w:ascii="仿宋" w:hAnsi="仿宋" w:eastAsia="仿宋" w:cs="仿宋"/>
          <w:color w:val="auto"/>
          <w:sz w:val="32"/>
          <w:szCs w:val="32"/>
          <w:highlight w:val="none"/>
        </w:rPr>
        <w:t>培训</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运用法律手段加强企业管理、法律咨询等；协助公司对知识产权方面的维护，为知识产权保护提供法律建议;应企业要求，就企业的重大法律权利主张，以企业法律顾问名义授权声明或向相关方</w:t>
      </w:r>
      <w:r>
        <w:rPr>
          <w:rFonts w:hint="eastAsia" w:ascii="仿宋" w:hAnsi="仿宋" w:eastAsia="仿宋" w:cs="仿宋"/>
          <w:color w:val="auto"/>
          <w:sz w:val="32"/>
          <w:szCs w:val="32"/>
          <w:highlight w:val="none"/>
          <w:lang w:eastAsia="zh-CN"/>
        </w:rPr>
        <w:t>发出</w:t>
      </w:r>
      <w:r>
        <w:rPr>
          <w:rFonts w:hint="eastAsia" w:ascii="仿宋" w:hAnsi="仿宋" w:eastAsia="仿宋" w:cs="仿宋"/>
          <w:color w:val="auto"/>
          <w:sz w:val="32"/>
          <w:szCs w:val="32"/>
          <w:highlight w:val="none"/>
        </w:rPr>
        <w:t>律师函；根据企业要求出具法律意见书，企业认为必要时，出具法律意见书盖章版；为企业草拟、审查、修改法律事务文书；参与企业的经济合同谈判和其他重大商务谈判</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为</w:t>
      </w:r>
      <w:r>
        <w:rPr>
          <w:rFonts w:hint="eastAsia" w:ascii="仿宋" w:hAnsi="仿宋" w:eastAsia="仿宋" w:cs="仿宋"/>
          <w:color w:val="auto"/>
          <w:sz w:val="32"/>
          <w:szCs w:val="32"/>
          <w:highlight w:val="none"/>
          <w:lang w:val="en-US" w:eastAsia="zh-CN"/>
        </w:rPr>
        <w:t>企业</w:t>
      </w:r>
      <w:r>
        <w:rPr>
          <w:rFonts w:hint="eastAsia" w:ascii="仿宋" w:hAnsi="仿宋" w:eastAsia="仿宋" w:cs="仿宋"/>
          <w:color w:val="auto"/>
          <w:sz w:val="32"/>
          <w:szCs w:val="32"/>
          <w:highlight w:val="none"/>
        </w:rPr>
        <w:t>提供法律意见，准备或审核所需的资料及有关的法律法规，协助制定谈判方案等；代办企业工商登记等法律事务；参与处理企业尚未形成诉讼或仲裁的民事、经济、行政争议或其他重大纠纷；优先接受</w:t>
      </w:r>
      <w:r>
        <w:rPr>
          <w:rFonts w:hint="eastAsia" w:ascii="仿宋" w:hAnsi="仿宋" w:eastAsia="仿宋" w:cs="仿宋"/>
          <w:color w:val="auto"/>
          <w:sz w:val="32"/>
          <w:szCs w:val="32"/>
          <w:highlight w:val="none"/>
          <w:lang w:val="en-US" w:eastAsia="zh-CN"/>
        </w:rPr>
        <w:t>企业</w:t>
      </w:r>
      <w:r>
        <w:rPr>
          <w:rFonts w:hint="eastAsia" w:ascii="仿宋" w:hAnsi="仿宋" w:eastAsia="仿宋" w:cs="仿宋"/>
          <w:color w:val="auto"/>
          <w:sz w:val="32"/>
          <w:szCs w:val="32"/>
          <w:highlight w:val="none"/>
        </w:rPr>
        <w:t>委托，代理企业参加民事、经济、行政等各类纠纷案件的调解、仲裁或诉讼活动，依法维护</w:t>
      </w:r>
      <w:r>
        <w:rPr>
          <w:rFonts w:hint="eastAsia" w:ascii="仿宋" w:hAnsi="仿宋" w:eastAsia="仿宋" w:cs="仿宋"/>
          <w:color w:val="auto"/>
          <w:sz w:val="32"/>
          <w:szCs w:val="32"/>
          <w:highlight w:val="none"/>
          <w:lang w:val="en-US" w:eastAsia="zh-CN"/>
        </w:rPr>
        <w:t>企业</w:t>
      </w:r>
      <w:r>
        <w:rPr>
          <w:rFonts w:hint="eastAsia" w:ascii="仿宋" w:hAnsi="仿宋" w:eastAsia="仿宋" w:cs="仿宋"/>
          <w:color w:val="auto"/>
          <w:sz w:val="32"/>
          <w:szCs w:val="32"/>
          <w:highlight w:val="none"/>
        </w:rPr>
        <w:t>的合法权益；接受企业委托，负责企业其他日常法律事务咨询服务。</w:t>
      </w:r>
    </w:p>
    <w:p w14:paraId="5395121C">
      <w:pPr>
        <w:keepNext w:val="0"/>
        <w:keepLines w:val="0"/>
        <w:widowControl/>
        <w:suppressLineNumbers w:val="0"/>
        <w:jc w:val="left"/>
        <w:rPr>
          <w:rFonts w:hint="default"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华文国际传媒有限公司服务内容：</w:t>
      </w:r>
      <w:r>
        <w:rPr>
          <w:rFonts w:hint="eastAsia" w:ascii="仿宋" w:hAnsi="仿宋" w:eastAsia="仿宋" w:cs="仿宋"/>
          <w:color w:val="auto"/>
          <w:sz w:val="32"/>
          <w:szCs w:val="32"/>
          <w:highlight w:val="none"/>
          <w:lang w:val="en-US" w:eastAsia="zh-CN"/>
        </w:rPr>
        <w:t>参与企业章程和总经理办公会运行规则的制定和修改；为企业在经营、管理、投资理财等方面的重大决策提出法律咨询意见；对企业重要经营决策、规章制度、合同进行法律审核；为企业并购上市、产权转让、破产重整、和解及清算等重大事项提出法律意见；协助公司对知识产权方面的维护，为知识产权保护提供法律建议；侧重于为公司数字出版业务，特别是游戏出版业务提供法律服务；应企业要求，就企业的重大法律权利主张，以企业法律顾问名义授权声明或向相关方发出律师函；根据企业要求出具法律意见书；为企业草拟、审查、修改法律事务文书；参与企业的经济合同谈判和其他重大商务谈判；参与处理企业尚未形成诉讼或仲裁的民事、经济、行政争议或其他重大纠纷；优先接受企业委托，代理企业参加民事、经济、行政等各类纠纷案件的调解、仲裁或诉讼活动，依法维护企业的合法权益；接受企业委托，负责企业其他日常法律事务咨询服务。</w:t>
      </w:r>
    </w:p>
    <w:p w14:paraId="5B37999D">
      <w:pPr>
        <w:keepNext w:val="0"/>
        <w:pageBreakBefore w:val="0"/>
        <w:shd w:val="clear"/>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服务地点:广东省深圳市</w:t>
      </w:r>
      <w:r>
        <w:rPr>
          <w:rFonts w:hint="eastAsia" w:ascii="仿宋" w:hAnsi="仿宋" w:eastAsia="仿宋" w:cs="仿宋"/>
          <w:color w:val="auto"/>
          <w:sz w:val="32"/>
          <w:szCs w:val="32"/>
          <w:highlight w:val="none"/>
          <w:lang w:val="en-US" w:eastAsia="zh-CN"/>
        </w:rPr>
        <w:t>海天综合大厦，需提供驻点服务</w:t>
      </w:r>
    </w:p>
    <w:p w14:paraId="26BF0A97">
      <w:pPr>
        <w:keepNext w:val="0"/>
        <w:pageBreakBefore w:val="0"/>
        <w:shd w:val="clear"/>
        <w:kinsoku/>
        <w:wordWrap/>
        <w:overflowPunct/>
        <w:topLinePunct w:val="0"/>
        <w:autoSpaceDE/>
        <w:autoSpaceDN/>
        <w:bidi w:val="0"/>
        <w:adjustRightInd/>
        <w:snapToGrid/>
        <w:spacing w:line="520" w:lineRule="exact"/>
        <w:ind w:firstLine="640" w:firstLineChars="200"/>
        <w:textAlignment w:val="auto"/>
        <w:rPr>
          <w:rFonts w:hint="eastAsia" w:ascii="楷体" w:hAnsi="楷体" w:eastAsia="楷体" w:cs="楷体"/>
          <w:highlight w:val="none"/>
        </w:rPr>
      </w:pPr>
      <w:r>
        <w:rPr>
          <w:rFonts w:hint="eastAsia" w:ascii="黑体" w:hAnsi="黑体" w:eastAsia="黑体" w:cs="黑体"/>
          <w:color w:val="auto"/>
          <w:sz w:val="32"/>
          <w:szCs w:val="32"/>
          <w:highlight w:val="none"/>
          <w:lang w:eastAsia="zh-CN"/>
        </w:rPr>
        <w:t>（</w:t>
      </w:r>
      <w:r>
        <w:rPr>
          <w:rFonts w:hint="eastAsia" w:ascii="黑体" w:hAnsi="黑体" w:eastAsia="黑体" w:cs="黑体"/>
          <w:color w:val="auto"/>
          <w:sz w:val="32"/>
          <w:szCs w:val="32"/>
          <w:highlight w:val="none"/>
          <w:lang w:val="en-US" w:eastAsia="zh-CN"/>
        </w:rPr>
        <w:t>三</w:t>
      </w:r>
      <w:r>
        <w:rPr>
          <w:rFonts w:hint="eastAsia" w:ascii="黑体" w:hAnsi="黑体" w:eastAsia="黑体" w:cs="黑体"/>
          <w:color w:val="auto"/>
          <w:sz w:val="32"/>
          <w:szCs w:val="32"/>
          <w:highlight w:val="none"/>
          <w:lang w:eastAsia="zh-CN"/>
        </w:rPr>
        <w:t>）</w:t>
      </w:r>
      <w:r>
        <w:rPr>
          <w:rFonts w:hint="eastAsia" w:ascii="黑体" w:hAnsi="黑体" w:eastAsia="黑体" w:cs="黑体"/>
          <w:color w:val="auto"/>
          <w:sz w:val="32"/>
          <w:szCs w:val="32"/>
          <w:highlight w:val="none"/>
        </w:rPr>
        <w:t>服务期限：</w:t>
      </w:r>
      <w:r>
        <w:rPr>
          <w:rFonts w:hint="eastAsia" w:ascii="仿宋" w:hAnsi="仿宋" w:eastAsia="仿宋" w:cs="仿宋"/>
          <w:color w:val="auto"/>
          <w:sz w:val="32"/>
          <w:szCs w:val="32"/>
          <w:highlight w:val="none"/>
        </w:rPr>
        <w:t>自签订委托合同之日起，</w:t>
      </w:r>
      <w:r>
        <w:rPr>
          <w:rFonts w:hint="eastAsia" w:ascii="仿宋" w:hAnsi="仿宋" w:eastAsia="仿宋" w:cs="仿宋"/>
          <w:color w:val="auto"/>
          <w:sz w:val="32"/>
          <w:szCs w:val="32"/>
          <w:highlight w:val="none"/>
          <w:lang w:val="en-US" w:eastAsia="zh-CN"/>
        </w:rPr>
        <w:t>2年</w:t>
      </w:r>
      <w:r>
        <w:rPr>
          <w:rFonts w:hint="eastAsia" w:ascii="仿宋" w:hAnsi="仿宋" w:eastAsia="仿宋" w:cs="仿宋"/>
          <w:color w:val="auto"/>
          <w:sz w:val="32"/>
          <w:szCs w:val="32"/>
          <w:highlight w:val="none"/>
        </w:rPr>
        <w:t>。</w:t>
      </w:r>
      <w:r>
        <w:rPr>
          <w:rFonts w:hint="eastAsia"/>
          <w:sz w:val="32"/>
          <w:szCs w:val="32"/>
          <w:highlight w:val="none"/>
        </w:rPr>
        <w:t>深圳出版社与深圳市华文国际传媒有限公司</w:t>
      </w:r>
      <w:r>
        <w:rPr>
          <w:rFonts w:hint="eastAsia" w:ascii="仿宋_GB2312" w:hAnsi="仿宋_GB2312" w:eastAsia="仿宋_GB2312" w:cs="仿宋_GB2312"/>
          <w:color w:val="auto"/>
          <w:sz w:val="32"/>
          <w:szCs w:val="32"/>
          <w:highlight w:val="none"/>
          <w:lang w:val="en-US" w:eastAsia="zh-CN"/>
        </w:rPr>
        <w:t>分别与成交供应商签订合同、分别结算费用。</w:t>
      </w:r>
    </w:p>
    <w:p w14:paraId="555A180C">
      <w:pPr>
        <w:shd w:val="clear"/>
        <w:spacing w:line="560" w:lineRule="exact"/>
        <w:ind w:firstLine="640" w:firstLineChars="200"/>
        <w:rPr>
          <w:rFonts w:hint="default" w:ascii="仿宋" w:hAnsi="仿宋" w:eastAsia="仿宋" w:cs="仿宋"/>
          <w:color w:val="auto"/>
          <w:sz w:val="32"/>
          <w:szCs w:val="32"/>
          <w:highlight w:val="none"/>
          <w:lang w:val="en-US" w:eastAsia="zh-CN"/>
        </w:rPr>
      </w:pPr>
      <w:r>
        <w:rPr>
          <w:rFonts w:hint="eastAsia" w:ascii="黑体" w:hAnsi="黑体" w:eastAsia="黑体" w:cs="楷体"/>
          <w:sz w:val="32"/>
          <w:szCs w:val="32"/>
          <w:highlight w:val="none"/>
          <w:lang w:eastAsia="zh-CN"/>
        </w:rPr>
        <w:t>（</w:t>
      </w:r>
      <w:r>
        <w:rPr>
          <w:rFonts w:hint="eastAsia" w:ascii="黑体" w:hAnsi="黑体" w:eastAsia="黑体" w:cs="楷体"/>
          <w:sz w:val="32"/>
          <w:szCs w:val="32"/>
          <w:highlight w:val="none"/>
          <w:lang w:val="en-US" w:eastAsia="zh-CN"/>
        </w:rPr>
        <w:t>四</w:t>
      </w:r>
      <w:r>
        <w:rPr>
          <w:rFonts w:hint="eastAsia" w:ascii="黑体" w:hAnsi="黑体" w:eastAsia="黑体" w:cs="楷体"/>
          <w:sz w:val="32"/>
          <w:szCs w:val="32"/>
          <w:highlight w:val="none"/>
          <w:lang w:eastAsia="zh-CN"/>
        </w:rPr>
        <w:t>）</w:t>
      </w:r>
      <w:r>
        <w:rPr>
          <w:rFonts w:hint="eastAsia" w:ascii="黑体" w:hAnsi="黑体" w:eastAsia="黑体" w:cs="楷体"/>
          <w:sz w:val="32"/>
          <w:szCs w:val="32"/>
          <w:highlight w:val="none"/>
        </w:rPr>
        <w:t>采购</w:t>
      </w:r>
      <w:r>
        <w:rPr>
          <w:rFonts w:hint="eastAsia" w:ascii="黑体" w:hAnsi="黑体" w:eastAsia="黑体" w:cs="楷体"/>
          <w:sz w:val="32"/>
          <w:szCs w:val="32"/>
          <w:highlight w:val="none"/>
          <w:lang w:val="en-US" w:eastAsia="zh-CN"/>
        </w:rPr>
        <w:t>金额</w:t>
      </w:r>
      <w:r>
        <w:rPr>
          <w:rFonts w:hint="eastAsia" w:ascii="黑体" w:hAnsi="黑体" w:eastAsia="黑体" w:cs="楷体"/>
          <w:sz w:val="32"/>
          <w:szCs w:val="32"/>
          <w:highlight w:val="none"/>
        </w:rPr>
        <w:t>：</w:t>
      </w:r>
      <w:bookmarkStart w:id="1" w:name="_Hlk208216088"/>
      <w:r>
        <w:rPr>
          <w:rFonts w:hint="eastAsia" w:ascii="仿宋" w:hAnsi="仿宋" w:eastAsia="仿宋" w:cs="仿宋"/>
          <w:color w:val="auto"/>
          <w:sz w:val="32"/>
          <w:szCs w:val="32"/>
          <w:highlight w:val="none"/>
        </w:rPr>
        <w:t>总价包干</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两家2年合计最高限价</w:t>
      </w:r>
      <w:r>
        <w:rPr>
          <w:rFonts w:hint="eastAsia" w:ascii="仿宋" w:hAnsi="仿宋" w:eastAsia="仿宋" w:cs="仿宋"/>
          <w:color w:val="auto"/>
          <w:sz w:val="32"/>
          <w:szCs w:val="32"/>
          <w:highlight w:val="none"/>
          <w:lang w:val="en-US" w:eastAsia="zh-CN"/>
        </w:rPr>
        <w:t>39.8万</w:t>
      </w:r>
      <w:r>
        <w:rPr>
          <w:rFonts w:hint="eastAsia" w:ascii="仿宋" w:hAnsi="仿宋" w:eastAsia="仿宋" w:cs="仿宋"/>
          <w:color w:val="auto"/>
          <w:sz w:val="32"/>
          <w:szCs w:val="32"/>
          <w:highlight w:val="none"/>
          <w:lang w:val="en-US" w:eastAsia="zh-CN"/>
        </w:rPr>
        <w:t>元。</w:t>
      </w:r>
    </w:p>
    <w:p w14:paraId="4706817A">
      <w:pPr>
        <w:shd w:val="clea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深圳出版社</w:t>
      </w:r>
      <w:r>
        <w:rPr>
          <w:rFonts w:hint="eastAsia" w:ascii="仿宋" w:hAnsi="仿宋" w:eastAsia="仿宋" w:cs="仿宋"/>
          <w:color w:val="auto"/>
          <w:sz w:val="32"/>
          <w:szCs w:val="32"/>
          <w:highlight w:val="none"/>
        </w:rPr>
        <w:t>本次服务项目采购的最高限价为</w:t>
      </w:r>
      <w:r>
        <w:rPr>
          <w:rFonts w:hint="eastAsia" w:ascii="仿宋" w:hAnsi="仿宋" w:eastAsia="仿宋" w:cs="仿宋"/>
          <w:color w:val="auto"/>
          <w:sz w:val="32"/>
          <w:szCs w:val="32"/>
          <w:highlight w:val="none"/>
          <w:lang w:val="en-US" w:eastAsia="zh-CN"/>
        </w:rPr>
        <w:t>14万元人民币/年（含本数、含税），2年合计不超过28万元人民币（含本数、含税）</w:t>
      </w:r>
      <w:r>
        <w:rPr>
          <w:rFonts w:hint="eastAsia" w:ascii="仿宋" w:hAnsi="仿宋" w:eastAsia="仿宋" w:cs="仿宋"/>
          <w:color w:val="auto"/>
          <w:sz w:val="32"/>
          <w:szCs w:val="32"/>
          <w:highlight w:val="none"/>
        </w:rPr>
        <w:t>。</w:t>
      </w:r>
    </w:p>
    <w:p w14:paraId="131BA440">
      <w:pPr>
        <w:shd w:val="clea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华文国际传媒有限公司本次服务项目采购的最高限价为5.9万元人民币/年（含本数、含税），2年合计不超过11.8万元人民币（含本数、含税）</w:t>
      </w:r>
      <w:r>
        <w:rPr>
          <w:rFonts w:hint="eastAsia" w:ascii="仿宋" w:hAnsi="仿宋" w:eastAsia="仿宋" w:cs="仿宋"/>
          <w:color w:val="auto"/>
          <w:sz w:val="32"/>
          <w:szCs w:val="32"/>
          <w:highlight w:val="none"/>
        </w:rPr>
        <w:t>。</w:t>
      </w:r>
    </w:p>
    <w:p w14:paraId="1C4C2525">
      <w:pPr>
        <w:shd w:val="clear"/>
        <w:spacing w:line="560" w:lineRule="exact"/>
        <w:ind w:firstLine="640" w:firstLineChars="200"/>
        <w:rPr>
          <w:rFonts w:hint="eastAsia" w:ascii="黑体" w:hAnsi="黑体" w:eastAsia="黑体" w:cs="黑体"/>
          <w:color w:val="0070C0"/>
          <w:highlight w:val="none"/>
        </w:rPr>
      </w:pPr>
      <w:r>
        <w:rPr>
          <w:rFonts w:hint="eastAsia" w:ascii="仿宋" w:hAnsi="仿宋" w:eastAsia="仿宋" w:cs="仿宋"/>
          <w:color w:val="auto"/>
          <w:sz w:val="32"/>
          <w:szCs w:val="32"/>
          <w:highlight w:val="none"/>
        </w:rPr>
        <w:t>供应商</w:t>
      </w:r>
      <w:r>
        <w:rPr>
          <w:rFonts w:hint="eastAsia" w:ascii="仿宋" w:hAnsi="仿宋" w:eastAsia="仿宋" w:cs="仿宋"/>
          <w:color w:val="auto"/>
          <w:sz w:val="32"/>
          <w:szCs w:val="32"/>
          <w:highlight w:val="none"/>
          <w:lang w:val="en-US" w:eastAsia="zh-CN"/>
        </w:rPr>
        <w:t>分开对深圳出版社和华文国际传媒有限公司报价，</w:t>
      </w:r>
      <w:r>
        <w:rPr>
          <w:rFonts w:hint="eastAsia" w:ascii="仿宋" w:hAnsi="仿宋" w:eastAsia="仿宋" w:cs="仿宋"/>
          <w:color w:val="auto"/>
          <w:sz w:val="32"/>
          <w:szCs w:val="32"/>
          <w:highlight w:val="none"/>
        </w:rPr>
        <w:t>报价不得超过最高限价，否则其报价无效。</w:t>
      </w:r>
      <w:r>
        <w:rPr>
          <w:rFonts w:hint="eastAsia" w:ascii="仿宋" w:hAnsi="仿宋" w:eastAsia="仿宋" w:cs="仿宋"/>
          <w:color w:val="auto"/>
          <w:sz w:val="32"/>
          <w:szCs w:val="32"/>
          <w:highlight w:val="none"/>
        </w:rPr>
        <w:t>报价单位为：人民币元（保留小数点后两位），</w:t>
      </w:r>
      <w:r>
        <w:rPr>
          <w:rFonts w:hint="eastAsia" w:ascii="仿宋" w:hAnsi="仿宋" w:eastAsia="仿宋" w:cs="仿宋"/>
          <w:color w:val="auto"/>
          <w:sz w:val="32"/>
          <w:szCs w:val="32"/>
          <w:highlight w:val="none"/>
          <w:lang w:val="en-US" w:eastAsia="zh-CN"/>
        </w:rPr>
        <w:t>每家公司</w:t>
      </w:r>
      <w:r>
        <w:rPr>
          <w:rFonts w:hint="eastAsia" w:ascii="仿宋" w:hAnsi="仿宋" w:eastAsia="仿宋" w:cs="仿宋"/>
          <w:color w:val="auto"/>
          <w:sz w:val="32"/>
          <w:szCs w:val="32"/>
          <w:highlight w:val="none"/>
        </w:rPr>
        <w:t>仅接受一个报价，任何有选择的报价将不予接受。</w:t>
      </w:r>
    </w:p>
    <w:bookmarkEnd w:id="1"/>
    <w:p w14:paraId="0817CAB6">
      <w:pPr>
        <w:ind w:left="567" w:firstLine="0" w:firstLineChars="0"/>
        <w:rPr>
          <w:rFonts w:hint="eastAsia" w:ascii="黑体" w:hAnsi="黑体" w:eastAsia="黑体" w:cs="黑体"/>
          <w:color w:val="auto"/>
          <w:sz w:val="32"/>
          <w:szCs w:val="24"/>
          <w:highlight w:val="none"/>
        </w:rPr>
      </w:pPr>
      <w:r>
        <w:rPr>
          <w:rFonts w:hint="eastAsia" w:ascii="黑体" w:hAnsi="黑体" w:eastAsia="黑体" w:cs="黑体"/>
          <w:color w:val="auto"/>
          <w:sz w:val="32"/>
          <w:szCs w:val="24"/>
          <w:highlight w:val="none"/>
        </w:rPr>
        <w:t>二、响应单位资格要求</w:t>
      </w:r>
    </w:p>
    <w:p w14:paraId="7378D75F">
      <w:pPr>
        <w:shd w:val="clear"/>
        <w:spacing w:line="560" w:lineRule="exact"/>
        <w:ind w:firstLine="640" w:firstLineChars="200"/>
        <w:rPr>
          <w:rFonts w:hint="default" w:ascii="黑体" w:hAnsi="黑体" w:eastAsia="黑体" w:cs="黑体"/>
          <w:color w:val="auto"/>
          <w:sz w:val="32"/>
          <w:szCs w:val="32"/>
          <w:highlight w:val="none"/>
          <w:lang w:val="en-US" w:eastAsia="zh-CN"/>
        </w:rPr>
      </w:pPr>
      <w:r>
        <w:rPr>
          <w:rFonts w:hint="eastAsia" w:ascii="仿宋" w:hAnsi="仿宋" w:eastAsia="仿宋" w:cs="仿宋"/>
          <w:color w:val="auto"/>
          <w:sz w:val="32"/>
          <w:szCs w:val="32"/>
          <w:highlight w:val="none"/>
        </w:rPr>
        <w:t>满足以下要求的供应商方可参与</w:t>
      </w:r>
      <w:r>
        <w:rPr>
          <w:rFonts w:hint="eastAsia" w:ascii="仿宋" w:hAnsi="仿宋" w:eastAsia="仿宋" w:cs="仿宋"/>
          <w:color w:val="auto"/>
          <w:sz w:val="32"/>
          <w:szCs w:val="32"/>
          <w:highlight w:val="none"/>
          <w:lang w:val="en-US" w:eastAsia="zh-CN"/>
        </w:rPr>
        <w:t>竞争性谈判</w:t>
      </w:r>
      <w:r>
        <w:rPr>
          <w:rFonts w:hint="eastAsia" w:ascii="仿宋" w:hAnsi="仿宋" w:eastAsia="仿宋" w:cs="仿宋"/>
          <w:color w:val="auto"/>
          <w:sz w:val="32"/>
          <w:szCs w:val="32"/>
          <w:highlight w:val="none"/>
        </w:rPr>
        <w:t>：</w:t>
      </w:r>
    </w:p>
    <w:p w14:paraId="11D76E55">
      <w:pPr>
        <w:shd w:val="clea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（一）参选人必须是国家司法行政主管部门合法登记注册的律师事务所（律师事务所分所），持有执业许可证书。</w:t>
      </w:r>
      <w:r>
        <w:rPr>
          <w:rFonts w:hint="eastAsia" w:ascii="仿宋" w:hAnsi="仿宋" w:eastAsia="仿宋" w:cs="仿宋"/>
          <w:color w:val="auto"/>
          <w:sz w:val="32"/>
          <w:szCs w:val="32"/>
          <w:highlight w:val="none"/>
        </w:rPr>
        <w:t>总部在深圳或在深圳设有分支机构</w:t>
      </w:r>
      <w:r>
        <w:rPr>
          <w:rFonts w:hint="eastAsia" w:ascii="仿宋" w:hAnsi="仿宋" w:eastAsia="仿宋" w:cs="仿宋"/>
          <w:color w:val="auto"/>
          <w:sz w:val="32"/>
          <w:szCs w:val="32"/>
          <w:highlight w:val="none"/>
          <w:lang w:eastAsia="zh-CN"/>
        </w:rPr>
        <w:t>。</w:t>
      </w:r>
    </w:p>
    <w:p w14:paraId="5D194F37">
      <w:pPr>
        <w:shd w:val="clea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二）参选人能派出1名本项目主办律师和1名驻点律师提供服务，主办律师在深圳执业年限已满10年，</w:t>
      </w:r>
      <w:r>
        <w:rPr>
          <w:rFonts w:hint="eastAsia" w:ascii="仿宋" w:hAnsi="仿宋" w:eastAsia="仿宋" w:cs="仿宋"/>
          <w:color w:val="auto"/>
          <w:sz w:val="32"/>
          <w:szCs w:val="32"/>
          <w:highlight w:val="none"/>
        </w:rPr>
        <w:t>具有合法有效的律师执业证</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驻点律师在深圳执业年限已满1年，</w:t>
      </w:r>
      <w:r>
        <w:rPr>
          <w:rFonts w:hint="eastAsia" w:ascii="仿宋" w:hAnsi="仿宋" w:eastAsia="仿宋" w:cs="仿宋"/>
          <w:color w:val="auto"/>
          <w:sz w:val="32"/>
          <w:szCs w:val="32"/>
          <w:highlight w:val="none"/>
        </w:rPr>
        <w:t>具有合法有效的律师执业证</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rPr>
        <w:t>（执业时间按</w:t>
      </w:r>
      <w:r>
        <w:rPr>
          <w:rFonts w:hint="eastAsia" w:ascii="仿宋" w:hAnsi="仿宋" w:eastAsia="仿宋" w:cs="仿宋"/>
          <w:color w:val="auto"/>
          <w:sz w:val="32"/>
          <w:szCs w:val="32"/>
          <w:highlight w:val="none"/>
          <w:lang w:val="en-US" w:eastAsia="zh-CN"/>
        </w:rPr>
        <w:t>司法行政机关出具的执业年限证明</w:t>
      </w:r>
      <w:r>
        <w:rPr>
          <w:rFonts w:hint="eastAsia" w:ascii="仿宋" w:hAnsi="仿宋" w:eastAsia="仿宋" w:cs="仿宋"/>
          <w:color w:val="auto"/>
          <w:sz w:val="32"/>
          <w:szCs w:val="32"/>
          <w:highlight w:val="none"/>
        </w:rPr>
        <w:t>为准，计算至响应截止日）</w:t>
      </w:r>
      <w:r>
        <w:rPr>
          <w:rFonts w:hint="eastAsia" w:ascii="仿宋" w:hAnsi="仿宋" w:eastAsia="仿宋" w:cs="仿宋"/>
          <w:color w:val="auto"/>
          <w:sz w:val="32"/>
          <w:szCs w:val="32"/>
          <w:highlight w:val="none"/>
          <w:lang w:eastAsia="zh-CN"/>
        </w:rPr>
        <w:t>。</w:t>
      </w:r>
    </w:p>
    <w:p w14:paraId="346BFD5B">
      <w:pPr>
        <w:shd w:val="clea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三</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参选人本项目主办律师和驻点律师</w:t>
      </w:r>
      <w:r>
        <w:rPr>
          <w:rFonts w:hint="eastAsia" w:ascii="仿宋" w:hAnsi="仿宋" w:eastAsia="仿宋" w:cs="仿宋"/>
          <w:color w:val="auto"/>
          <w:sz w:val="32"/>
          <w:szCs w:val="32"/>
          <w:highlight w:val="none"/>
        </w:rPr>
        <w:t>应熟悉知识产权和版权保护法、合同法、劳动法、民事诉讼法等法律法规</w:t>
      </w:r>
      <w:r>
        <w:rPr>
          <w:rFonts w:hint="eastAsia" w:ascii="仿宋" w:hAnsi="仿宋" w:eastAsia="仿宋" w:cs="仿宋"/>
          <w:color w:val="auto"/>
          <w:sz w:val="32"/>
          <w:szCs w:val="32"/>
          <w:highlight w:val="none"/>
          <w:lang w:eastAsia="zh-CN"/>
        </w:rPr>
        <w:t>。</w:t>
      </w:r>
    </w:p>
    <w:p w14:paraId="053E9F49">
      <w:pPr>
        <w:shd w:val="clea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（四）参选人提供的证书（证件等）必须在有效期内。</w:t>
      </w:r>
    </w:p>
    <w:p w14:paraId="05031656">
      <w:pPr>
        <w:shd w:val="clear"/>
        <w:spacing w:line="560" w:lineRule="exact"/>
        <w:ind w:firstLine="640" w:firstLineChars="200"/>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五</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参选人本项目主办律师</w:t>
      </w:r>
      <w:r>
        <w:rPr>
          <w:rFonts w:hint="eastAsia" w:ascii="仿宋" w:hAnsi="仿宋" w:eastAsia="仿宋" w:cs="仿宋"/>
          <w:color w:val="auto"/>
          <w:sz w:val="32"/>
          <w:szCs w:val="32"/>
          <w:highlight w:val="none"/>
          <w:lang w:val="en-US" w:eastAsia="zh-CN"/>
        </w:rPr>
        <w:t>和驻点律师从</w:t>
      </w:r>
      <w:r>
        <w:rPr>
          <w:rFonts w:hint="eastAsia" w:ascii="仿宋" w:hAnsi="仿宋" w:eastAsia="仿宋" w:cs="仿宋"/>
          <w:color w:val="auto"/>
          <w:sz w:val="32"/>
          <w:szCs w:val="32"/>
          <w:highlight w:val="none"/>
        </w:rPr>
        <w:t>20</w:t>
      </w:r>
      <w:r>
        <w:rPr>
          <w:rFonts w:hint="eastAsia" w:ascii="仿宋" w:hAnsi="仿宋" w:eastAsia="仿宋" w:cs="仿宋"/>
          <w:color w:val="auto"/>
          <w:sz w:val="32"/>
          <w:szCs w:val="32"/>
          <w:highlight w:val="none"/>
          <w:lang w:val="en-US" w:eastAsia="zh-CN"/>
        </w:rPr>
        <w:t>23</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月1日至响应截止日期间</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近三年</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应具备为</w:t>
      </w:r>
      <w:r>
        <w:rPr>
          <w:rFonts w:hint="eastAsia" w:ascii="仿宋" w:hAnsi="仿宋" w:eastAsia="仿宋" w:cs="仿宋"/>
          <w:color w:val="auto"/>
          <w:sz w:val="32"/>
          <w:szCs w:val="32"/>
          <w:highlight w:val="none"/>
          <w:lang w:val="en-US" w:eastAsia="zh-CN"/>
        </w:rPr>
        <w:t>政府机关国企和事业单位</w:t>
      </w:r>
      <w:r>
        <w:rPr>
          <w:rFonts w:hint="eastAsia" w:ascii="仿宋" w:hAnsi="仿宋" w:eastAsia="仿宋" w:cs="仿宋"/>
          <w:color w:val="auto"/>
          <w:sz w:val="32"/>
          <w:szCs w:val="32"/>
          <w:highlight w:val="none"/>
        </w:rPr>
        <w:t>提供常年法律顾问的经验；</w:t>
      </w:r>
    </w:p>
    <w:p w14:paraId="47CB21D9">
      <w:pPr>
        <w:shd w:val="clea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六</w:t>
      </w:r>
      <w:r>
        <w:rPr>
          <w:rFonts w:hint="eastAsia" w:ascii="仿宋" w:hAnsi="仿宋" w:eastAsia="仿宋" w:cs="仿宋"/>
          <w:color w:val="auto"/>
          <w:sz w:val="32"/>
          <w:szCs w:val="32"/>
          <w:highlight w:val="none"/>
        </w:rPr>
        <w:t>）律师事务所及拟提供服务</w:t>
      </w:r>
      <w:r>
        <w:rPr>
          <w:rFonts w:hint="eastAsia" w:ascii="仿宋" w:hAnsi="仿宋" w:eastAsia="仿宋" w:cs="仿宋"/>
          <w:color w:val="auto"/>
          <w:sz w:val="32"/>
          <w:szCs w:val="32"/>
          <w:highlight w:val="none"/>
          <w:lang w:val="en-US" w:eastAsia="zh-CN"/>
        </w:rPr>
        <w:t>主办律师、驻点律师</w:t>
      </w:r>
      <w:r>
        <w:rPr>
          <w:rFonts w:hint="eastAsia" w:ascii="仿宋" w:hAnsi="仿宋" w:eastAsia="仿宋" w:cs="仿宋"/>
          <w:color w:val="auto"/>
          <w:sz w:val="32"/>
          <w:szCs w:val="32"/>
          <w:highlight w:val="none"/>
        </w:rPr>
        <w:t>近三年（202</w:t>
      </w:r>
      <w:r>
        <w:rPr>
          <w:rFonts w:hint="eastAsia" w:ascii="仿宋" w:hAnsi="仿宋" w:eastAsia="仿宋" w:cs="仿宋"/>
          <w:color w:val="auto"/>
          <w:sz w:val="32"/>
          <w:szCs w:val="32"/>
          <w:highlight w:val="none"/>
          <w:lang w:val="en-US" w:eastAsia="zh-CN"/>
        </w:rPr>
        <w:t>3年5月1日-</w:t>
      </w:r>
      <w:r>
        <w:rPr>
          <w:rFonts w:hint="eastAsia" w:ascii="仿宋" w:hAnsi="仿宋" w:eastAsia="仿宋" w:cs="仿宋"/>
          <w:color w:val="auto"/>
          <w:sz w:val="32"/>
          <w:szCs w:val="32"/>
          <w:highlight w:val="none"/>
        </w:rPr>
        <w:t>响应截止日</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无司法行政部门、律师协会惩戒记录和不良执业记录，年度考核合格。</w:t>
      </w:r>
    </w:p>
    <w:p w14:paraId="2D347076">
      <w:pPr>
        <w:shd w:val="clea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七</w:t>
      </w:r>
      <w:r>
        <w:rPr>
          <w:rFonts w:hint="eastAsia" w:ascii="仿宋" w:hAnsi="仿宋" w:eastAsia="仿宋" w:cs="仿宋"/>
          <w:color w:val="auto"/>
          <w:sz w:val="32"/>
          <w:szCs w:val="32"/>
          <w:highlight w:val="none"/>
        </w:rPr>
        <w:t>）本服务项目不接受联合体响应，不接受个人响应。同一律师事务所（含总所、分所），不接受2份及以上响应文件，如出现2份及以上响应文件且在响应期内未撤回，则该律师事务所（含总所、分所）的所有响应均无效。本项目严禁供应商转包和分包，否则采购人有权终止合同并追究其相应法律责任。</w:t>
      </w:r>
    </w:p>
    <w:p w14:paraId="3B2A6D2C">
      <w:pPr>
        <w:shd w:val="clea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八</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没有被列入“信用中国”网站的“严重失信主体名单”的情况</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提供最新查询结果或者说明有关情况</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w:t>
      </w:r>
    </w:p>
    <w:p w14:paraId="13F38639">
      <w:pPr>
        <w:shd w:val="clea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没有被列入深圳出版集团有限公司供应商黑名单（无需提供此项资料）；</w:t>
      </w:r>
    </w:p>
    <w:p w14:paraId="3BEF188D">
      <w:pPr>
        <w:shd w:val="clea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以上资格要求如有虚假，一经查实，取消资格。</w:t>
      </w:r>
    </w:p>
    <w:p w14:paraId="4B3C896C">
      <w:pPr>
        <w:shd w:val="clea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凡有能力执行本采购文件所述项目，具备我国境内有关法律法规规定的条件且符合本采购文件规定资格要求的供应商均可能成为</w:t>
      </w:r>
      <w:r>
        <w:rPr>
          <w:rFonts w:hint="eastAsia" w:ascii="仿宋" w:hAnsi="仿宋" w:eastAsia="仿宋" w:cs="仿宋"/>
          <w:color w:val="auto"/>
          <w:sz w:val="32"/>
          <w:szCs w:val="32"/>
          <w:highlight w:val="none"/>
          <w:lang w:val="en-US" w:eastAsia="zh-CN"/>
        </w:rPr>
        <w:t>成交</w:t>
      </w:r>
      <w:r>
        <w:rPr>
          <w:rFonts w:hint="eastAsia" w:ascii="仿宋" w:hAnsi="仿宋" w:eastAsia="仿宋" w:cs="仿宋"/>
          <w:color w:val="auto"/>
          <w:sz w:val="32"/>
          <w:szCs w:val="32"/>
          <w:highlight w:val="none"/>
        </w:rPr>
        <w:t>的供应商。</w:t>
      </w:r>
    </w:p>
    <w:p w14:paraId="6FEF8F05">
      <w:pPr>
        <w:shd w:val="clea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如果供应商之间存在下列互为关联关系的情形之一的，不得同时参加本服务项目：</w:t>
      </w:r>
    </w:p>
    <w:p w14:paraId="07768EBC">
      <w:pPr>
        <w:shd w:val="clea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1.单位负责人为同一人或亲属关系的不同供应商；</w:t>
      </w:r>
    </w:p>
    <w:p w14:paraId="7E34A750">
      <w:pPr>
        <w:shd w:val="clea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2.存在直接控股、管理关系的不同供应商；</w:t>
      </w:r>
    </w:p>
    <w:p w14:paraId="0D7725C3">
      <w:pPr>
        <w:shd w:val="clea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3.均为同一家母公司直接或间接持股 50％及以上的被投资企业；</w:t>
      </w:r>
    </w:p>
    <w:p w14:paraId="3B60C15A">
      <w:pPr>
        <w:shd w:val="clear"/>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4.有相同的控股股东（或第一大股东）的不同供应商应进行书面声明不存在管理关系</w:t>
      </w:r>
      <w:r>
        <w:rPr>
          <w:rFonts w:hint="eastAsia" w:ascii="仿宋" w:hAnsi="仿宋" w:eastAsia="仿宋" w:cs="仿宋"/>
          <w:color w:val="auto"/>
          <w:sz w:val="32"/>
          <w:szCs w:val="32"/>
          <w:highlight w:val="none"/>
          <w:lang w:eastAsia="zh-CN"/>
        </w:rPr>
        <w:t>且未</w:t>
      </w:r>
      <w:r>
        <w:rPr>
          <w:rFonts w:hint="eastAsia" w:ascii="仿宋" w:hAnsi="仿宋" w:eastAsia="仿宋" w:cs="仿宋"/>
          <w:color w:val="auto"/>
          <w:sz w:val="32"/>
          <w:szCs w:val="32"/>
          <w:highlight w:val="none"/>
        </w:rPr>
        <w:t>按照该控股股东要求协同响应，拒不进行书面声明的；</w:t>
      </w:r>
    </w:p>
    <w:p w14:paraId="4BA97E77">
      <w:pPr>
        <w:shd w:val="clear"/>
        <w:spacing w:line="560" w:lineRule="exact"/>
        <w:ind w:firstLine="640" w:firstLineChars="200"/>
        <w:rPr>
          <w:rFonts w:hint="eastAsia" w:ascii="黑体" w:hAnsi="黑体" w:eastAsia="黑体" w:cs="黑体"/>
          <w:color w:val="auto"/>
          <w:highlight w:val="none"/>
        </w:rPr>
      </w:pPr>
      <w:r>
        <w:rPr>
          <w:rFonts w:hint="eastAsia" w:ascii="仿宋" w:hAnsi="仿宋" w:eastAsia="仿宋" w:cs="仿宋"/>
          <w:color w:val="auto"/>
          <w:sz w:val="32"/>
          <w:szCs w:val="32"/>
          <w:highlight w:val="none"/>
        </w:rPr>
        <w:t>5.有参股关系的不同供应商应进行书面声明供应商之间不存在管理关系，拒不进行书面声明的。</w:t>
      </w:r>
    </w:p>
    <w:p w14:paraId="058AF3F9">
      <w:pPr>
        <w:ind w:firstLine="56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三、采购文件的获取</w:t>
      </w:r>
    </w:p>
    <w:p w14:paraId="3EBE5C17">
      <w:pPr>
        <w:pStyle w:val="42"/>
        <w:numPr>
          <w:ilvl w:val="0"/>
          <w:numId w:val="0"/>
        </w:numPr>
        <w:ind w:firstLine="640" w:firstLineChars="200"/>
        <w:rPr>
          <w:rFonts w:hint="eastAsia" w:eastAsia="仿宋_GB2312"/>
          <w:color w:val="auto"/>
          <w:sz w:val="32"/>
          <w:szCs w:val="24"/>
          <w:highlight w:val="none"/>
          <w:lang w:eastAsia="zh-CN"/>
        </w:rPr>
      </w:pPr>
      <w:r>
        <w:rPr>
          <w:rFonts w:hint="eastAsia" w:ascii="楷体" w:hAnsi="楷体" w:eastAsia="楷体" w:cs="楷体"/>
          <w:color w:val="auto"/>
          <w:sz w:val="32"/>
          <w:szCs w:val="24"/>
          <w:highlight w:val="none"/>
          <w:lang w:eastAsia="zh-CN"/>
        </w:rPr>
        <w:t>（</w:t>
      </w:r>
      <w:r>
        <w:rPr>
          <w:rFonts w:hint="eastAsia" w:ascii="楷体" w:hAnsi="楷体" w:eastAsia="楷体" w:cs="楷体"/>
          <w:color w:val="auto"/>
          <w:sz w:val="32"/>
          <w:szCs w:val="24"/>
          <w:highlight w:val="none"/>
          <w:lang w:val="en-US" w:eastAsia="zh-CN"/>
        </w:rPr>
        <w:t>一</w:t>
      </w:r>
      <w:r>
        <w:rPr>
          <w:rFonts w:hint="eastAsia" w:ascii="楷体" w:hAnsi="楷体" w:eastAsia="楷体" w:cs="楷体"/>
          <w:color w:val="auto"/>
          <w:sz w:val="32"/>
          <w:szCs w:val="24"/>
          <w:highlight w:val="none"/>
          <w:lang w:eastAsia="zh-CN"/>
        </w:rPr>
        <w:t>）</w:t>
      </w:r>
      <w:r>
        <w:rPr>
          <w:rFonts w:hint="eastAsia" w:ascii="楷体" w:hAnsi="楷体" w:eastAsia="楷体" w:cs="楷体"/>
          <w:color w:val="auto"/>
          <w:sz w:val="32"/>
          <w:szCs w:val="24"/>
          <w:highlight w:val="none"/>
        </w:rPr>
        <w:t>采购文件的获取时间：</w:t>
      </w:r>
      <w:r>
        <w:rPr>
          <w:rFonts w:hint="eastAsia"/>
          <w:color w:val="auto"/>
          <w:sz w:val="32"/>
          <w:szCs w:val="24"/>
          <w:highlight w:val="none"/>
        </w:rPr>
        <w:t>2026年</w:t>
      </w:r>
      <w:r>
        <w:rPr>
          <w:rFonts w:hint="eastAsia"/>
          <w:color w:val="auto"/>
          <w:sz w:val="32"/>
          <w:szCs w:val="24"/>
          <w:highlight w:val="none"/>
          <w:lang w:val="en-US" w:eastAsia="zh-CN"/>
        </w:rPr>
        <w:t>5</w:t>
      </w:r>
      <w:r>
        <w:rPr>
          <w:rFonts w:hint="eastAsia"/>
          <w:color w:val="auto"/>
          <w:sz w:val="32"/>
          <w:szCs w:val="24"/>
          <w:highlight w:val="none"/>
        </w:rPr>
        <w:t>月</w:t>
      </w:r>
      <w:r>
        <w:rPr>
          <w:rFonts w:hint="eastAsia"/>
          <w:color w:val="auto"/>
          <w:sz w:val="32"/>
          <w:szCs w:val="24"/>
          <w:highlight w:val="none"/>
          <w:lang w:val="en-US" w:eastAsia="zh-CN"/>
        </w:rPr>
        <w:t>20</w:t>
      </w:r>
      <w:r>
        <w:rPr>
          <w:rFonts w:hint="eastAsia"/>
          <w:color w:val="auto"/>
          <w:sz w:val="32"/>
          <w:szCs w:val="24"/>
          <w:highlight w:val="none"/>
        </w:rPr>
        <w:t>日至</w:t>
      </w:r>
      <w:r>
        <w:rPr>
          <w:rFonts w:hint="eastAsia"/>
          <w:color w:val="auto"/>
          <w:sz w:val="32"/>
          <w:szCs w:val="24"/>
          <w:highlight w:val="none"/>
          <w:lang w:val="en-US" w:eastAsia="zh-CN"/>
        </w:rPr>
        <w:t>5</w:t>
      </w:r>
      <w:r>
        <w:rPr>
          <w:rFonts w:hint="eastAsia"/>
          <w:color w:val="auto"/>
          <w:sz w:val="32"/>
          <w:szCs w:val="24"/>
          <w:highlight w:val="none"/>
        </w:rPr>
        <w:t>月</w:t>
      </w:r>
      <w:r>
        <w:rPr>
          <w:rFonts w:hint="eastAsia"/>
          <w:color w:val="auto"/>
          <w:sz w:val="32"/>
          <w:szCs w:val="24"/>
          <w:highlight w:val="none"/>
          <w:lang w:val="en-US" w:eastAsia="zh-CN"/>
        </w:rPr>
        <w:t>22</w:t>
      </w:r>
      <w:r>
        <w:rPr>
          <w:rFonts w:hint="eastAsia"/>
          <w:color w:val="auto"/>
          <w:sz w:val="32"/>
          <w:szCs w:val="24"/>
          <w:highlight w:val="none"/>
        </w:rPr>
        <w:t>日。</w:t>
      </w:r>
      <w:r>
        <w:rPr>
          <w:rFonts w:hint="eastAsia"/>
          <w:color w:val="auto"/>
          <w:sz w:val="32"/>
          <w:szCs w:val="24"/>
          <w:highlight w:val="none"/>
          <w:lang w:eastAsia="zh-CN"/>
        </w:rPr>
        <w:t>（</w:t>
      </w:r>
      <w:r>
        <w:rPr>
          <w:rFonts w:hint="eastAsia"/>
          <w:color w:val="auto"/>
          <w:sz w:val="32"/>
          <w:szCs w:val="24"/>
          <w:highlight w:val="none"/>
          <w:lang w:val="en-US" w:eastAsia="zh-CN"/>
        </w:rPr>
        <w:t>暂定，根据实际时间相应调整</w:t>
      </w:r>
      <w:r>
        <w:rPr>
          <w:rFonts w:hint="eastAsia"/>
          <w:color w:val="auto"/>
          <w:sz w:val="32"/>
          <w:szCs w:val="24"/>
          <w:highlight w:val="none"/>
          <w:lang w:eastAsia="zh-CN"/>
        </w:rPr>
        <w:t>）</w:t>
      </w:r>
    </w:p>
    <w:p w14:paraId="2D2A20BD">
      <w:pPr>
        <w:pStyle w:val="42"/>
        <w:numPr>
          <w:ilvl w:val="0"/>
          <w:numId w:val="0"/>
        </w:numPr>
        <w:ind w:firstLine="640" w:firstLineChars="200"/>
        <w:rPr>
          <w:rFonts w:hint="eastAsia" w:ascii="楷体" w:hAnsi="楷体" w:eastAsia="楷体" w:cs="楷体"/>
          <w:color w:val="auto"/>
          <w:sz w:val="32"/>
          <w:szCs w:val="24"/>
          <w:highlight w:val="none"/>
        </w:rPr>
      </w:pPr>
      <w:r>
        <w:rPr>
          <w:rFonts w:hint="eastAsia" w:ascii="楷体" w:hAnsi="楷体" w:eastAsia="楷体" w:cs="楷体"/>
          <w:color w:val="auto"/>
          <w:sz w:val="32"/>
          <w:szCs w:val="24"/>
          <w:highlight w:val="none"/>
          <w:lang w:eastAsia="zh-CN"/>
        </w:rPr>
        <w:t>（</w:t>
      </w:r>
      <w:r>
        <w:rPr>
          <w:rFonts w:hint="eastAsia" w:ascii="楷体" w:hAnsi="楷体" w:eastAsia="楷体" w:cs="楷体"/>
          <w:color w:val="auto"/>
          <w:sz w:val="32"/>
          <w:szCs w:val="24"/>
          <w:highlight w:val="none"/>
          <w:lang w:val="en-US" w:eastAsia="zh-CN"/>
        </w:rPr>
        <w:t>二</w:t>
      </w:r>
      <w:r>
        <w:rPr>
          <w:rFonts w:hint="eastAsia" w:ascii="楷体" w:hAnsi="楷体" w:eastAsia="楷体" w:cs="楷体"/>
          <w:color w:val="auto"/>
          <w:sz w:val="32"/>
          <w:szCs w:val="24"/>
          <w:highlight w:val="none"/>
          <w:lang w:eastAsia="zh-CN"/>
        </w:rPr>
        <w:t>）</w:t>
      </w:r>
      <w:r>
        <w:rPr>
          <w:rFonts w:hint="eastAsia" w:ascii="楷体" w:hAnsi="楷体" w:eastAsia="楷体" w:cs="楷体"/>
          <w:color w:val="auto"/>
          <w:sz w:val="32"/>
          <w:szCs w:val="24"/>
          <w:highlight w:val="none"/>
        </w:rPr>
        <w:t>采购文件的获取网址：</w:t>
      </w:r>
    </w:p>
    <w:p w14:paraId="010EAD31">
      <w:pPr>
        <w:pStyle w:val="42"/>
        <w:ind w:left="998" w:firstLine="20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1.深圳出版集团有限公司官网，网址</w:t>
      </w:r>
      <w:r>
        <w:rPr>
          <w:rFonts w:hint="eastAsia" w:ascii="仿宋_GB2312" w:hAnsi="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https://www.szcbfx.com/；</w:t>
      </w:r>
    </w:p>
    <w:p w14:paraId="1B4529C7">
      <w:pPr>
        <w:pStyle w:val="42"/>
        <w:ind w:left="998" w:firstLine="20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2.深圳阳光采购平台，网址</w:t>
      </w:r>
      <w:r>
        <w:rPr>
          <w:rFonts w:hint="eastAsia" w:ascii="仿宋_GB2312" w:hAnsi="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https://www.szygcgpt.com/。</w:t>
      </w:r>
    </w:p>
    <w:p w14:paraId="15164C52">
      <w:pPr>
        <w:ind w:firstLine="560"/>
        <w:rPr>
          <w:rFonts w:hint="eastAsia" w:ascii="黑体" w:hAnsi="黑体" w:eastAsia="黑体" w:cs="黑体"/>
          <w:color w:val="auto"/>
          <w:sz w:val="32"/>
          <w:szCs w:val="24"/>
          <w:highlight w:val="none"/>
        </w:rPr>
      </w:pPr>
      <w:r>
        <w:rPr>
          <w:rFonts w:hint="eastAsia" w:ascii="黑体" w:hAnsi="黑体" w:eastAsia="黑体" w:cs="黑体"/>
          <w:color w:val="auto"/>
          <w:sz w:val="32"/>
          <w:szCs w:val="24"/>
          <w:highlight w:val="none"/>
        </w:rPr>
        <w:t>四、响应文件的递交和开启</w:t>
      </w:r>
    </w:p>
    <w:p w14:paraId="137AB1D8">
      <w:pPr>
        <w:pStyle w:val="42"/>
        <w:numPr>
          <w:ilvl w:val="0"/>
          <w:numId w:val="0"/>
        </w:num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响应文件递交截止时间：2026年</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日</w:t>
      </w:r>
      <w:r>
        <w:rPr>
          <w:rFonts w:hint="eastAsia" w:ascii="仿宋_GB2312" w:hAnsi="仿宋_GB2312" w:cs="仿宋_GB2312"/>
          <w:color w:val="auto"/>
          <w:sz w:val="32"/>
          <w:szCs w:val="32"/>
          <w:highlight w:val="none"/>
          <w:lang w:val="en-US" w:eastAsia="zh-CN"/>
        </w:rPr>
        <w:t>上午11:00</w:t>
      </w:r>
      <w:r>
        <w:rPr>
          <w:rFonts w:hint="eastAsia"/>
          <w:color w:val="auto"/>
          <w:sz w:val="32"/>
          <w:szCs w:val="24"/>
          <w:highlight w:val="none"/>
          <w:lang w:eastAsia="zh-CN"/>
        </w:rPr>
        <w:t>（</w:t>
      </w:r>
      <w:r>
        <w:rPr>
          <w:rFonts w:hint="eastAsia"/>
          <w:color w:val="auto"/>
          <w:sz w:val="32"/>
          <w:szCs w:val="24"/>
          <w:highlight w:val="none"/>
          <w:lang w:val="en-US" w:eastAsia="zh-CN"/>
        </w:rPr>
        <w:t>暂定，根据实际时间相应调整</w:t>
      </w:r>
      <w:r>
        <w:rPr>
          <w:rFonts w:hint="eastAsia"/>
          <w:color w:val="auto"/>
          <w:sz w:val="32"/>
          <w:szCs w:val="24"/>
          <w:highlight w:val="none"/>
          <w:lang w:eastAsia="zh-CN"/>
        </w:rPr>
        <w:t>）</w:t>
      </w:r>
      <w:r>
        <w:rPr>
          <w:rFonts w:hint="eastAsia" w:ascii="仿宋_GB2312" w:hAnsi="仿宋_GB2312" w:eastAsia="仿宋_GB2312" w:cs="仿宋_GB2312"/>
          <w:color w:val="auto"/>
          <w:sz w:val="32"/>
          <w:szCs w:val="32"/>
          <w:highlight w:val="none"/>
        </w:rPr>
        <w:t>。</w:t>
      </w:r>
    </w:p>
    <w:p w14:paraId="77D112E7">
      <w:pPr>
        <w:ind w:firstLine="640"/>
        <w:jc w:val="both"/>
        <w:rPr>
          <w:rFonts w:hint="eastAsia" w:ascii="仿宋_GB2312" w:hAnsi="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2.响应文件递交方式：专人送达，一套纸质密封文件，一式三份（一份正本，两份副本）。响应文件递交时需密封（加封条盖公章）。密封文件上应写明联系人、联系方式及联系邮箱（便于通知谈判时间）。</w:t>
      </w:r>
    </w:p>
    <w:p w14:paraId="18989826">
      <w:pPr>
        <w:pStyle w:val="42"/>
        <w:numPr>
          <w:ilvl w:val="0"/>
          <w:numId w:val="0"/>
        </w:numPr>
        <w:ind w:firstLine="640" w:firstLineChars="200"/>
        <w:rPr>
          <w:rFonts w:hint="eastAsia" w:ascii="仿宋_GB2312" w:hAnsi="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响应文件递交</w:t>
      </w:r>
      <w:r>
        <w:rPr>
          <w:rFonts w:hint="eastAsia" w:ascii="仿宋_GB2312" w:hAnsi="仿宋_GB2312" w:cs="仿宋_GB2312"/>
          <w:color w:val="auto"/>
          <w:sz w:val="32"/>
          <w:szCs w:val="32"/>
          <w:highlight w:val="none"/>
          <w:lang w:val="en-US" w:eastAsia="zh-CN"/>
        </w:rPr>
        <w:t>地址</w:t>
      </w:r>
      <w:r>
        <w:rPr>
          <w:rFonts w:hint="eastAsia" w:ascii="仿宋_GB2312" w:hAnsi="仿宋_GB2312" w:eastAsia="仿宋_GB2312" w:cs="仿宋_GB2312"/>
          <w:color w:val="auto"/>
          <w:sz w:val="32"/>
          <w:szCs w:val="32"/>
          <w:highlight w:val="none"/>
        </w:rPr>
        <w:t>：深圳市福田区彩田南路海天综合大厦</w:t>
      </w:r>
      <w:r>
        <w:rPr>
          <w:rFonts w:hint="eastAsia" w:ascii="仿宋_GB2312" w:hAnsi="仿宋_GB2312" w:cs="仿宋_GB2312"/>
          <w:color w:val="auto"/>
          <w:sz w:val="32"/>
          <w:szCs w:val="32"/>
          <w:highlight w:val="none"/>
          <w:lang w:val="en-US" w:eastAsia="zh-CN"/>
        </w:rPr>
        <w:t>810</w:t>
      </w:r>
      <w:r>
        <w:rPr>
          <w:rFonts w:hint="eastAsia" w:ascii="仿宋_GB2312" w:hAnsi="仿宋_GB2312" w:eastAsia="仿宋_GB2312" w:cs="仿宋_GB2312"/>
          <w:color w:val="auto"/>
          <w:sz w:val="32"/>
          <w:szCs w:val="32"/>
          <w:highlight w:val="none"/>
        </w:rPr>
        <w:t>室</w:t>
      </w:r>
      <w:r>
        <w:rPr>
          <w:rFonts w:hint="eastAsia" w:ascii="仿宋_GB2312" w:hAnsi="仿宋_GB2312" w:cs="仿宋_GB2312"/>
          <w:color w:val="auto"/>
          <w:sz w:val="32"/>
          <w:szCs w:val="32"/>
          <w:highlight w:val="none"/>
          <w:lang w:eastAsia="zh-CN"/>
        </w:rPr>
        <w:t>，</w:t>
      </w:r>
      <w:r>
        <w:rPr>
          <w:rFonts w:hint="eastAsia" w:ascii="仿宋_GB2312" w:hAnsi="仿宋_GB2312" w:cs="仿宋_GB2312"/>
          <w:color w:val="auto"/>
          <w:sz w:val="32"/>
          <w:szCs w:val="32"/>
          <w:highlight w:val="none"/>
          <w:lang w:val="en-US" w:eastAsia="zh-CN"/>
        </w:rPr>
        <w:t>何</w:t>
      </w:r>
      <w:r>
        <w:rPr>
          <w:rFonts w:hint="eastAsia" w:ascii="仿宋_GB2312" w:hAnsi="仿宋_GB2312" w:eastAsia="仿宋_GB2312" w:cs="仿宋_GB2312"/>
          <w:color w:val="auto"/>
          <w:sz w:val="32"/>
          <w:szCs w:val="32"/>
          <w:highlight w:val="none"/>
        </w:rPr>
        <w:t>老师</w:t>
      </w:r>
      <w:r>
        <w:rPr>
          <w:rFonts w:hint="eastAsia" w:ascii="仿宋_GB2312" w:hAnsi="仿宋_GB2312" w:cs="仿宋_GB2312"/>
          <w:color w:val="auto"/>
          <w:sz w:val="32"/>
          <w:szCs w:val="32"/>
          <w:highlight w:val="none"/>
          <w:lang w:eastAsia="zh-CN"/>
        </w:rPr>
        <w:t>（</w:t>
      </w:r>
      <w:r>
        <w:rPr>
          <w:rFonts w:hint="eastAsia" w:ascii="仿宋_GB2312" w:hAnsi="仿宋_GB2312" w:cs="仿宋_GB2312"/>
          <w:color w:val="auto"/>
          <w:sz w:val="32"/>
          <w:szCs w:val="32"/>
          <w:highlight w:val="none"/>
          <w:lang w:val="en-US" w:eastAsia="zh-CN"/>
        </w:rPr>
        <w:t>收</w:t>
      </w:r>
      <w:r>
        <w:rPr>
          <w:rFonts w:hint="eastAsia" w:ascii="仿宋_GB2312" w:hAnsi="仿宋_GB2312" w:cs="仿宋_GB2312"/>
          <w:color w:val="auto"/>
          <w:sz w:val="32"/>
          <w:szCs w:val="32"/>
          <w:highlight w:val="none"/>
          <w:lang w:eastAsia="zh-CN"/>
        </w:rPr>
        <w:t>），</w:t>
      </w:r>
      <w:r>
        <w:rPr>
          <w:rFonts w:hint="eastAsia" w:ascii="仿宋_GB2312" w:hAnsi="仿宋_GB2312" w:cs="仿宋_GB2312"/>
          <w:color w:val="auto"/>
          <w:sz w:val="32"/>
          <w:szCs w:val="32"/>
          <w:highlight w:val="none"/>
          <w:lang w:val="en-US" w:eastAsia="zh-CN"/>
        </w:rPr>
        <w:t>电话：</w:t>
      </w:r>
      <w:r>
        <w:rPr>
          <w:rFonts w:hint="eastAsia" w:ascii="仿宋_GB2312" w:hAnsi="仿宋_GB2312" w:eastAsia="仿宋_GB2312" w:cs="仿宋_GB2312"/>
          <w:color w:val="auto"/>
          <w:sz w:val="32"/>
          <w:szCs w:val="32"/>
          <w:highlight w:val="none"/>
        </w:rPr>
        <w:t>0755-8346</w:t>
      </w:r>
      <w:r>
        <w:rPr>
          <w:rFonts w:hint="eastAsia" w:ascii="仿宋_GB2312" w:hAnsi="仿宋_GB2312" w:cs="仿宋_GB2312"/>
          <w:color w:val="auto"/>
          <w:sz w:val="32"/>
          <w:szCs w:val="32"/>
          <w:highlight w:val="none"/>
          <w:lang w:val="en-US" w:eastAsia="zh-CN"/>
        </w:rPr>
        <w:t>0205。</w:t>
      </w:r>
    </w:p>
    <w:p w14:paraId="6B240287">
      <w:pPr>
        <w:keepNext w:val="0"/>
        <w:keepLines w:val="0"/>
        <w:pageBreakBefore w:val="0"/>
        <w:widowControl/>
        <w:shd w:val="clear"/>
        <w:kinsoku/>
        <w:wordWrap w:val="0"/>
        <w:overflowPunct/>
        <w:topLinePunct/>
        <w:autoSpaceDE/>
        <w:autoSpaceDN/>
        <w:bidi w:val="0"/>
        <w:adjustRightInd w:val="0"/>
        <w:snapToGrid w:val="0"/>
        <w:spacing w:line="520" w:lineRule="exact"/>
        <w:ind w:firstLine="640" w:firstLineChars="200"/>
        <w:jc w:val="both"/>
        <w:textAlignment w:val="baseline"/>
        <w:rPr>
          <w:rFonts w:hint="eastAsia" w:ascii="仿宋_GB2312" w:hAnsi="仿宋_GB2312" w:eastAsia="仿宋_GB2312" w:cs="仿宋_GB2312"/>
          <w:color w:val="auto"/>
          <w:spacing w:val="-20"/>
          <w:sz w:val="32"/>
          <w:szCs w:val="32"/>
          <w:highlight w:val="none"/>
        </w:rPr>
      </w:pPr>
      <w:r>
        <w:rPr>
          <w:rFonts w:hint="eastAsia" w:ascii="仿宋_GB2312" w:hAnsi="仿宋_GB2312" w:cs="仿宋_GB2312"/>
          <w:color w:val="auto"/>
          <w:sz w:val="32"/>
          <w:szCs w:val="32"/>
          <w:highlight w:val="none"/>
          <w:lang w:val="en-US" w:eastAsia="zh-CN"/>
        </w:rPr>
        <w:t>逾期送达、未送达指定地点或未密封的响应文件，采购人将拒绝接收。</w:t>
      </w:r>
    </w:p>
    <w:p w14:paraId="3C221C70">
      <w:pPr>
        <w:pStyle w:val="42"/>
        <w:numPr>
          <w:ilvl w:val="0"/>
          <w:numId w:val="0"/>
        </w:num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开启响应文件时间：2026年</w:t>
      </w:r>
      <w:r>
        <w:rPr>
          <w:rFonts w:hint="eastAsia" w:ascii="仿宋_GB2312" w:hAnsi="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月</w:t>
      </w:r>
      <w:r>
        <w:rPr>
          <w:rFonts w:hint="eastAsia" w:ascii="仿宋_GB2312" w:hAnsi="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日</w:t>
      </w:r>
      <w:r>
        <w:rPr>
          <w:rFonts w:hint="eastAsia" w:ascii="仿宋_GB2312" w:hAnsi="仿宋_GB2312" w:cs="仿宋_GB2312"/>
          <w:color w:val="auto"/>
          <w:sz w:val="32"/>
          <w:szCs w:val="32"/>
          <w:highlight w:val="none"/>
          <w:lang w:val="en-US" w:eastAsia="zh-CN"/>
        </w:rPr>
        <w:t>下午2：30</w:t>
      </w:r>
      <w:r>
        <w:rPr>
          <w:rFonts w:hint="eastAsia"/>
          <w:color w:val="auto"/>
          <w:sz w:val="32"/>
          <w:szCs w:val="24"/>
          <w:highlight w:val="none"/>
          <w:lang w:eastAsia="zh-CN"/>
        </w:rPr>
        <w:t>（</w:t>
      </w:r>
      <w:r>
        <w:rPr>
          <w:rFonts w:hint="eastAsia"/>
          <w:color w:val="auto"/>
          <w:sz w:val="32"/>
          <w:szCs w:val="24"/>
          <w:highlight w:val="none"/>
          <w:lang w:val="en-US" w:eastAsia="zh-CN"/>
        </w:rPr>
        <w:t>暂定，根据实际时间相应调整</w:t>
      </w:r>
      <w:r>
        <w:rPr>
          <w:rFonts w:hint="eastAsia"/>
          <w:color w:val="auto"/>
          <w:sz w:val="32"/>
          <w:szCs w:val="24"/>
          <w:highlight w:val="none"/>
          <w:lang w:eastAsia="zh-CN"/>
        </w:rPr>
        <w:t>）</w:t>
      </w:r>
      <w:r>
        <w:rPr>
          <w:rFonts w:hint="eastAsia" w:ascii="仿宋_GB2312" w:hAnsi="仿宋_GB2312" w:eastAsia="仿宋_GB2312" w:cs="仿宋_GB2312"/>
          <w:color w:val="auto"/>
          <w:sz w:val="32"/>
          <w:szCs w:val="32"/>
          <w:highlight w:val="none"/>
        </w:rPr>
        <w:t>。</w:t>
      </w:r>
    </w:p>
    <w:p w14:paraId="03A9BC3F">
      <w:pPr>
        <w:pStyle w:val="42"/>
        <w:numPr>
          <w:ilvl w:val="0"/>
          <w:numId w:val="0"/>
        </w:num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开启响应文件地点：深圳市福田区彩田南路海天综合大厦</w:t>
      </w:r>
      <w:r>
        <w:rPr>
          <w:rFonts w:hint="eastAsia" w:ascii="仿宋_GB2312" w:hAnsi="仿宋_GB2312" w:cs="仿宋_GB2312"/>
          <w:color w:val="auto"/>
          <w:sz w:val="32"/>
          <w:szCs w:val="32"/>
          <w:highlight w:val="none"/>
          <w:lang w:val="en-US" w:eastAsia="zh-CN"/>
        </w:rPr>
        <w:t>813</w:t>
      </w:r>
      <w:r>
        <w:rPr>
          <w:rFonts w:hint="eastAsia" w:ascii="仿宋_GB2312" w:hAnsi="仿宋_GB2312" w:eastAsia="仿宋_GB2312" w:cs="仿宋_GB2312"/>
          <w:color w:val="auto"/>
          <w:sz w:val="32"/>
          <w:szCs w:val="32"/>
          <w:highlight w:val="none"/>
        </w:rPr>
        <w:t>会议室。</w:t>
      </w:r>
    </w:p>
    <w:p w14:paraId="21A78246">
      <w:pPr>
        <w:pStyle w:val="42"/>
        <w:numPr>
          <w:ilvl w:val="0"/>
          <w:numId w:val="0"/>
        </w:num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开启响应文件时间、地点如有变更另行</w:t>
      </w:r>
      <w:r>
        <w:rPr>
          <w:rFonts w:hint="eastAsia" w:ascii="仿宋_GB2312" w:hAnsi="仿宋_GB2312" w:cs="仿宋_GB2312"/>
          <w:color w:val="auto"/>
          <w:sz w:val="32"/>
          <w:szCs w:val="32"/>
          <w:highlight w:val="none"/>
          <w:lang w:val="en-US" w:eastAsia="zh-CN"/>
        </w:rPr>
        <w:t>通知</w:t>
      </w:r>
      <w:r>
        <w:rPr>
          <w:rFonts w:hint="eastAsia" w:ascii="仿宋_GB2312" w:hAnsi="仿宋_GB2312" w:eastAsia="仿宋_GB2312" w:cs="仿宋_GB2312"/>
          <w:color w:val="auto"/>
          <w:sz w:val="32"/>
          <w:szCs w:val="32"/>
          <w:highlight w:val="none"/>
        </w:rPr>
        <w:t>。</w:t>
      </w:r>
    </w:p>
    <w:p w14:paraId="323D728D">
      <w:pPr>
        <w:ind w:firstLine="560"/>
        <w:rPr>
          <w:rFonts w:hint="eastAsia" w:ascii="楷体" w:hAnsi="楷体" w:eastAsia="楷体" w:cs="楷体"/>
          <w:color w:val="auto"/>
          <w:sz w:val="32"/>
          <w:szCs w:val="24"/>
          <w:highlight w:val="none"/>
        </w:rPr>
      </w:pPr>
      <w:r>
        <w:rPr>
          <w:rFonts w:hint="eastAsia" w:ascii="黑体" w:hAnsi="黑体" w:eastAsia="黑体" w:cs="黑体"/>
          <w:color w:val="auto"/>
          <w:sz w:val="32"/>
          <w:szCs w:val="24"/>
          <w:highlight w:val="none"/>
        </w:rPr>
        <w:t>五、响应文件要求及否决响应的情况</w:t>
      </w:r>
    </w:p>
    <w:p w14:paraId="7A604AC2">
      <w:pPr>
        <w:ind w:firstLine="560"/>
        <w:rPr>
          <w:rFonts w:hint="eastAsia" w:ascii="黑体" w:hAnsi="黑体" w:eastAsia="黑体" w:cs="楷体"/>
          <w:color w:val="auto"/>
          <w:sz w:val="32"/>
          <w:szCs w:val="24"/>
          <w:highlight w:val="none"/>
        </w:rPr>
      </w:pPr>
      <w:r>
        <w:rPr>
          <w:rFonts w:hint="eastAsia" w:ascii="黑体" w:hAnsi="黑体" w:eastAsia="黑体" w:cs="楷体"/>
          <w:color w:val="auto"/>
          <w:sz w:val="32"/>
          <w:szCs w:val="24"/>
          <w:highlight w:val="none"/>
        </w:rPr>
        <w:t>（一）响应文件要求</w:t>
      </w:r>
    </w:p>
    <w:p w14:paraId="5B20F5E0">
      <w:pPr>
        <w:pStyle w:val="42"/>
        <w:numPr>
          <w:ilvl w:val="0"/>
          <w:numId w:val="2"/>
        </w:numPr>
        <w:ind w:firstLine="200" w:firstLineChars="0"/>
        <w:rPr>
          <w:color w:val="auto"/>
          <w:sz w:val="32"/>
          <w:szCs w:val="24"/>
          <w:highlight w:val="none"/>
        </w:rPr>
      </w:pPr>
      <w:r>
        <w:rPr>
          <w:rFonts w:hint="eastAsia"/>
          <w:color w:val="auto"/>
          <w:sz w:val="32"/>
          <w:szCs w:val="24"/>
          <w:highlight w:val="none"/>
        </w:rPr>
        <w:t>响应文件应进行密封处理（含资格文件）；</w:t>
      </w:r>
    </w:p>
    <w:p w14:paraId="1A8586E4">
      <w:pPr>
        <w:pStyle w:val="42"/>
        <w:numPr>
          <w:ilvl w:val="0"/>
          <w:numId w:val="2"/>
        </w:numPr>
        <w:ind w:firstLine="200" w:firstLineChars="0"/>
        <w:rPr>
          <w:color w:val="auto"/>
          <w:sz w:val="32"/>
          <w:szCs w:val="24"/>
          <w:highlight w:val="none"/>
        </w:rPr>
      </w:pPr>
      <w:r>
        <w:rPr>
          <w:rFonts w:hint="eastAsia"/>
          <w:color w:val="auto"/>
          <w:sz w:val="32"/>
          <w:szCs w:val="24"/>
          <w:highlight w:val="none"/>
        </w:rPr>
        <w:t>响应文件应在规定时间内递交；</w:t>
      </w:r>
    </w:p>
    <w:p w14:paraId="1568D371">
      <w:pPr>
        <w:pStyle w:val="42"/>
        <w:numPr>
          <w:ilvl w:val="0"/>
          <w:numId w:val="2"/>
        </w:numPr>
        <w:ind w:firstLine="200" w:firstLineChars="0"/>
        <w:rPr>
          <w:color w:val="auto"/>
          <w:sz w:val="32"/>
          <w:szCs w:val="24"/>
          <w:highlight w:val="none"/>
        </w:rPr>
      </w:pPr>
      <w:r>
        <w:rPr>
          <w:rFonts w:hint="eastAsia"/>
          <w:color w:val="auto"/>
          <w:sz w:val="32"/>
          <w:szCs w:val="24"/>
          <w:highlight w:val="none"/>
        </w:rPr>
        <w:t>响应文件应按采购文件要求提交</w:t>
      </w:r>
      <w:r>
        <w:rPr>
          <w:rFonts w:hint="eastAsia"/>
          <w:color w:val="auto"/>
          <w:sz w:val="32"/>
          <w:szCs w:val="24"/>
          <w:highlight w:val="none"/>
          <w:lang w:eastAsia="zh-CN"/>
        </w:rPr>
        <w:t>；</w:t>
      </w:r>
    </w:p>
    <w:p w14:paraId="536F6022">
      <w:pPr>
        <w:ind w:firstLine="560"/>
        <w:rPr>
          <w:rFonts w:hint="eastAsia" w:ascii="黑体" w:hAnsi="黑体" w:eastAsia="黑体" w:cs="楷体"/>
          <w:color w:val="auto"/>
          <w:sz w:val="32"/>
          <w:szCs w:val="24"/>
          <w:highlight w:val="none"/>
        </w:rPr>
      </w:pPr>
      <w:r>
        <w:rPr>
          <w:rFonts w:hint="eastAsia" w:ascii="黑体" w:hAnsi="黑体" w:eastAsia="黑体" w:cs="楷体"/>
          <w:color w:val="auto"/>
          <w:sz w:val="32"/>
          <w:szCs w:val="24"/>
          <w:highlight w:val="none"/>
        </w:rPr>
        <w:t>（二）响应文件否决情况</w:t>
      </w:r>
    </w:p>
    <w:p w14:paraId="6CFA5FAE">
      <w:pPr>
        <w:pStyle w:val="42"/>
        <w:numPr>
          <w:ilvl w:val="0"/>
          <w:numId w:val="3"/>
        </w:numPr>
        <w:ind w:firstLine="200" w:firstLineChars="0"/>
        <w:rPr>
          <w:color w:val="auto"/>
          <w:sz w:val="32"/>
          <w:szCs w:val="24"/>
          <w:highlight w:val="none"/>
        </w:rPr>
      </w:pPr>
      <w:r>
        <w:rPr>
          <w:rFonts w:hint="eastAsia"/>
          <w:color w:val="auto"/>
          <w:sz w:val="32"/>
          <w:szCs w:val="24"/>
          <w:highlight w:val="none"/>
        </w:rPr>
        <w:t>响应报价金额高于采购项目限价金额的</w:t>
      </w:r>
      <w:r>
        <w:rPr>
          <w:rFonts w:hint="eastAsia"/>
          <w:color w:val="auto"/>
          <w:sz w:val="32"/>
          <w:szCs w:val="24"/>
          <w:highlight w:val="none"/>
          <w:lang w:eastAsia="zh-CN"/>
        </w:rPr>
        <w:t>，</w:t>
      </w:r>
      <w:r>
        <w:rPr>
          <w:rFonts w:hint="eastAsia"/>
          <w:color w:val="auto"/>
          <w:sz w:val="32"/>
          <w:szCs w:val="24"/>
          <w:highlight w:val="none"/>
          <w:lang w:val="en-US" w:eastAsia="zh-CN"/>
        </w:rPr>
        <w:t>或者报</w:t>
      </w:r>
    </w:p>
    <w:p w14:paraId="72C7D8DB">
      <w:pPr>
        <w:pStyle w:val="42"/>
        <w:numPr>
          <w:ilvl w:val="0"/>
          <w:numId w:val="0"/>
        </w:numPr>
        <w:ind w:left="1200" w:leftChars="0"/>
        <w:rPr>
          <w:color w:val="auto"/>
          <w:sz w:val="32"/>
          <w:szCs w:val="24"/>
          <w:highlight w:val="none"/>
        </w:rPr>
      </w:pPr>
      <w:r>
        <w:rPr>
          <w:rFonts w:hint="eastAsia"/>
          <w:color w:val="auto"/>
          <w:sz w:val="32"/>
          <w:szCs w:val="24"/>
          <w:highlight w:val="none"/>
          <w:lang w:val="en-US" w:eastAsia="zh-CN"/>
        </w:rPr>
        <w:t>价低于限价金额50%的</w:t>
      </w:r>
      <w:r>
        <w:rPr>
          <w:rFonts w:hint="eastAsia"/>
          <w:color w:val="auto"/>
          <w:sz w:val="32"/>
          <w:szCs w:val="24"/>
          <w:highlight w:val="none"/>
        </w:rPr>
        <w:t>；</w:t>
      </w:r>
    </w:p>
    <w:p w14:paraId="77D747F6">
      <w:pPr>
        <w:pStyle w:val="42"/>
        <w:numPr>
          <w:ilvl w:val="0"/>
          <w:numId w:val="3"/>
        </w:numPr>
        <w:ind w:firstLine="200" w:firstLineChars="0"/>
        <w:rPr>
          <w:color w:val="auto"/>
          <w:sz w:val="32"/>
          <w:szCs w:val="24"/>
          <w:highlight w:val="none"/>
        </w:rPr>
      </w:pPr>
      <w:r>
        <w:rPr>
          <w:rFonts w:hint="eastAsia"/>
          <w:color w:val="auto"/>
          <w:sz w:val="32"/>
          <w:szCs w:val="24"/>
          <w:highlight w:val="none"/>
        </w:rPr>
        <w:t>以联合体形式或个人名义响应的；</w:t>
      </w:r>
    </w:p>
    <w:p w14:paraId="18F092B1">
      <w:pPr>
        <w:pStyle w:val="42"/>
        <w:numPr>
          <w:ilvl w:val="0"/>
          <w:numId w:val="3"/>
        </w:numPr>
        <w:ind w:firstLine="200" w:firstLineChars="0"/>
        <w:rPr>
          <w:color w:val="auto"/>
          <w:sz w:val="32"/>
          <w:szCs w:val="24"/>
          <w:highlight w:val="none"/>
        </w:rPr>
      </w:pPr>
      <w:r>
        <w:rPr>
          <w:rFonts w:hint="eastAsia"/>
          <w:color w:val="auto"/>
          <w:sz w:val="32"/>
          <w:szCs w:val="24"/>
          <w:highlight w:val="none"/>
        </w:rPr>
        <w:t>响应文件未进行密封处理的；</w:t>
      </w:r>
    </w:p>
    <w:p w14:paraId="6038608C">
      <w:pPr>
        <w:pStyle w:val="42"/>
        <w:numPr>
          <w:ilvl w:val="0"/>
          <w:numId w:val="3"/>
        </w:numPr>
        <w:ind w:firstLine="200" w:firstLineChars="0"/>
        <w:rPr>
          <w:color w:val="auto"/>
          <w:sz w:val="32"/>
          <w:szCs w:val="24"/>
          <w:highlight w:val="none"/>
        </w:rPr>
      </w:pPr>
      <w:r>
        <w:rPr>
          <w:rFonts w:hint="eastAsia"/>
          <w:color w:val="auto"/>
          <w:sz w:val="32"/>
          <w:szCs w:val="24"/>
          <w:highlight w:val="none"/>
        </w:rPr>
        <w:t>供应商未按采购文件要求提交资格审查文件的或资格审查文件不符合要求的。</w:t>
      </w:r>
    </w:p>
    <w:p w14:paraId="6DDCC94D">
      <w:pPr>
        <w:ind w:firstLine="560"/>
        <w:rPr>
          <w:rFonts w:hint="eastAsia" w:ascii="黑体" w:hAnsi="黑体" w:eastAsia="黑体" w:cs="黑体"/>
          <w:color w:val="auto"/>
          <w:sz w:val="32"/>
          <w:szCs w:val="24"/>
          <w:highlight w:val="none"/>
        </w:rPr>
      </w:pPr>
      <w:r>
        <w:rPr>
          <w:rFonts w:hint="eastAsia" w:ascii="黑体" w:hAnsi="黑体" w:eastAsia="黑体" w:cs="黑体"/>
          <w:color w:val="auto"/>
          <w:sz w:val="32"/>
          <w:szCs w:val="24"/>
          <w:highlight w:val="none"/>
        </w:rPr>
        <w:t>六、公告期限</w:t>
      </w:r>
    </w:p>
    <w:p w14:paraId="671D75D9">
      <w:pPr>
        <w:pStyle w:val="42"/>
        <w:numPr>
          <w:ilvl w:val="0"/>
          <w:numId w:val="0"/>
        </w:numPr>
        <w:ind w:firstLine="640" w:firstLineChars="200"/>
        <w:rPr>
          <w:rFonts w:hint="eastAsia" w:ascii="仿宋_GB2312" w:hAnsi="仿宋_GB2312" w:cs="仿宋_GB2312"/>
          <w:b/>
          <w:bCs/>
          <w:color w:val="auto"/>
          <w:kern w:val="44"/>
          <w:sz w:val="44"/>
          <w:szCs w:val="44"/>
          <w:highlight w:val="none"/>
        </w:rPr>
      </w:pPr>
      <w:r>
        <w:rPr>
          <w:rFonts w:hint="eastAsia"/>
          <w:color w:val="auto"/>
          <w:sz w:val="32"/>
          <w:szCs w:val="24"/>
          <w:highlight w:val="none"/>
        </w:rPr>
        <w:t>2026年</w:t>
      </w:r>
      <w:r>
        <w:rPr>
          <w:rFonts w:hint="eastAsia"/>
          <w:color w:val="auto"/>
          <w:sz w:val="32"/>
          <w:szCs w:val="24"/>
          <w:highlight w:val="none"/>
          <w:lang w:val="en-US" w:eastAsia="zh-CN"/>
        </w:rPr>
        <w:t>5</w:t>
      </w:r>
      <w:r>
        <w:rPr>
          <w:rFonts w:hint="eastAsia"/>
          <w:color w:val="auto"/>
          <w:sz w:val="32"/>
          <w:szCs w:val="24"/>
          <w:highlight w:val="none"/>
        </w:rPr>
        <w:t>月</w:t>
      </w:r>
      <w:r>
        <w:rPr>
          <w:rFonts w:hint="eastAsia"/>
          <w:color w:val="auto"/>
          <w:sz w:val="32"/>
          <w:szCs w:val="24"/>
          <w:highlight w:val="none"/>
          <w:lang w:val="en-US" w:eastAsia="zh-CN"/>
        </w:rPr>
        <w:t>20</w:t>
      </w:r>
      <w:r>
        <w:rPr>
          <w:rFonts w:hint="eastAsia"/>
          <w:color w:val="auto"/>
          <w:sz w:val="32"/>
          <w:szCs w:val="24"/>
          <w:highlight w:val="none"/>
        </w:rPr>
        <w:t>日至</w:t>
      </w:r>
      <w:r>
        <w:rPr>
          <w:rFonts w:hint="eastAsia"/>
          <w:color w:val="auto"/>
          <w:sz w:val="32"/>
          <w:szCs w:val="24"/>
          <w:highlight w:val="none"/>
          <w:lang w:val="en-US" w:eastAsia="zh-CN"/>
        </w:rPr>
        <w:t>5</w:t>
      </w:r>
      <w:r>
        <w:rPr>
          <w:rFonts w:hint="eastAsia"/>
          <w:color w:val="auto"/>
          <w:sz w:val="32"/>
          <w:szCs w:val="24"/>
          <w:highlight w:val="none"/>
        </w:rPr>
        <w:t>月</w:t>
      </w:r>
      <w:r>
        <w:rPr>
          <w:rFonts w:hint="eastAsia"/>
          <w:color w:val="auto"/>
          <w:sz w:val="32"/>
          <w:szCs w:val="24"/>
          <w:highlight w:val="none"/>
          <w:lang w:val="en-US" w:eastAsia="zh-CN"/>
        </w:rPr>
        <w:t>22</w:t>
      </w:r>
      <w:r>
        <w:rPr>
          <w:rFonts w:hint="eastAsia"/>
          <w:color w:val="auto"/>
          <w:sz w:val="32"/>
          <w:szCs w:val="24"/>
          <w:highlight w:val="none"/>
        </w:rPr>
        <w:t>日</w:t>
      </w:r>
      <w:r>
        <w:rPr>
          <w:rFonts w:hint="eastAsia"/>
          <w:color w:val="auto"/>
          <w:sz w:val="32"/>
          <w:szCs w:val="24"/>
          <w:highlight w:val="none"/>
          <w:lang w:eastAsia="zh-CN"/>
        </w:rPr>
        <w:t>（</w:t>
      </w:r>
      <w:r>
        <w:rPr>
          <w:rFonts w:hint="eastAsia"/>
          <w:color w:val="auto"/>
          <w:sz w:val="32"/>
          <w:szCs w:val="24"/>
          <w:highlight w:val="none"/>
          <w:lang w:val="en-US" w:eastAsia="zh-CN"/>
        </w:rPr>
        <w:t>暂定，根据实际时间相应调整</w:t>
      </w:r>
      <w:r>
        <w:rPr>
          <w:rFonts w:hint="eastAsia"/>
          <w:color w:val="auto"/>
          <w:sz w:val="32"/>
          <w:szCs w:val="24"/>
          <w:highlight w:val="none"/>
          <w:lang w:eastAsia="zh-CN"/>
        </w:rPr>
        <w:t>）。</w:t>
      </w:r>
    </w:p>
    <w:p w14:paraId="3EA09D5A">
      <w:pPr>
        <w:ind w:left="0" w:leftChars="0" w:firstLine="0" w:firstLineChars="0"/>
        <w:rPr>
          <w:rFonts w:hint="eastAsia" w:ascii="仿宋_GB2312" w:hAnsi="仿宋_GB2312" w:cs="仿宋_GB2312"/>
          <w:b/>
          <w:bCs/>
          <w:color w:val="auto"/>
          <w:kern w:val="44"/>
          <w:sz w:val="44"/>
          <w:szCs w:val="44"/>
          <w:highlight w:val="none"/>
        </w:rPr>
      </w:pPr>
    </w:p>
    <w:p w14:paraId="47FC8BC1">
      <w:pPr>
        <w:ind w:left="0" w:leftChars="0" w:firstLine="0" w:firstLineChars="0"/>
        <w:rPr>
          <w:rFonts w:hint="eastAsia" w:ascii="仿宋_GB2312" w:hAnsi="仿宋_GB2312" w:cs="仿宋_GB2312"/>
          <w:b/>
          <w:bCs/>
          <w:color w:val="auto"/>
          <w:kern w:val="44"/>
          <w:sz w:val="44"/>
          <w:szCs w:val="44"/>
          <w:highlight w:val="none"/>
        </w:rPr>
      </w:pPr>
    </w:p>
    <w:p w14:paraId="7FC73EEE">
      <w:pPr>
        <w:ind w:left="0" w:leftChars="0" w:firstLine="0" w:firstLineChars="0"/>
        <w:rPr>
          <w:rFonts w:hint="eastAsia" w:ascii="仿宋_GB2312" w:hAnsi="仿宋_GB2312" w:cs="仿宋_GB2312"/>
          <w:b/>
          <w:bCs/>
          <w:color w:val="auto"/>
          <w:kern w:val="44"/>
          <w:sz w:val="44"/>
          <w:szCs w:val="44"/>
          <w:highlight w:val="none"/>
        </w:rPr>
      </w:pPr>
    </w:p>
    <w:p w14:paraId="646A0B8E">
      <w:pPr>
        <w:pStyle w:val="2"/>
        <w:numPr>
          <w:ilvl w:val="0"/>
          <w:numId w:val="4"/>
        </w:numPr>
        <w:ind w:left="2040" w:leftChars="0" w:firstLine="1320" w:firstLineChars="0"/>
        <w:jc w:val="left"/>
        <w:rPr>
          <w:rFonts w:hint="eastAsia"/>
          <w:color w:val="auto"/>
          <w:highlight w:val="none"/>
        </w:rPr>
      </w:pPr>
      <w:bookmarkStart w:id="2" w:name="_Toc204764239"/>
      <w:r>
        <w:rPr>
          <w:rFonts w:hint="eastAsia"/>
          <w:color w:val="auto"/>
          <w:highlight w:val="none"/>
          <w:lang w:val="en-US" w:eastAsia="zh-CN"/>
        </w:rPr>
        <w:t>供应商</w:t>
      </w:r>
      <w:r>
        <w:rPr>
          <w:rFonts w:hint="eastAsia"/>
          <w:color w:val="auto"/>
          <w:highlight w:val="none"/>
        </w:rPr>
        <w:t>须知</w:t>
      </w:r>
      <w:bookmarkEnd w:id="2"/>
    </w:p>
    <w:p w14:paraId="5A5AD5FC">
      <w:pPr>
        <w:pStyle w:val="42"/>
        <w:numPr>
          <w:ilvl w:val="0"/>
          <w:numId w:val="0"/>
        </w:numPr>
        <w:ind w:firstLine="640" w:firstLineChars="200"/>
        <w:jc w:val="both"/>
        <w:rPr>
          <w:rFonts w:hint="eastAsia"/>
          <w:color w:val="auto"/>
          <w:sz w:val="32"/>
          <w:szCs w:val="24"/>
          <w:highlight w:val="none"/>
          <w:lang w:eastAsia="zh-CN"/>
        </w:rPr>
      </w:pPr>
      <w:r>
        <w:rPr>
          <w:rFonts w:hint="eastAsia"/>
          <w:color w:val="auto"/>
          <w:sz w:val="32"/>
          <w:szCs w:val="24"/>
          <w:highlight w:val="none"/>
          <w:lang w:val="en-US" w:eastAsia="zh-CN"/>
        </w:rPr>
        <w:t>1.本项目</w:t>
      </w:r>
      <w:r>
        <w:rPr>
          <w:rFonts w:hint="eastAsia"/>
          <w:color w:val="auto"/>
          <w:sz w:val="32"/>
          <w:szCs w:val="24"/>
          <w:highlight w:val="none"/>
        </w:rPr>
        <w:t>不要求递交响应保证金。响应人自行承担响应采购活动所发生的一切费用</w:t>
      </w:r>
      <w:r>
        <w:rPr>
          <w:rFonts w:hint="eastAsia"/>
          <w:color w:val="auto"/>
          <w:sz w:val="32"/>
          <w:szCs w:val="24"/>
          <w:highlight w:val="none"/>
          <w:lang w:eastAsia="zh-CN"/>
        </w:rPr>
        <w:t>。</w:t>
      </w:r>
    </w:p>
    <w:p w14:paraId="3F91C660">
      <w:pPr>
        <w:pStyle w:val="42"/>
        <w:numPr>
          <w:ilvl w:val="0"/>
          <w:numId w:val="0"/>
        </w:numPr>
        <w:ind w:firstLine="640" w:firstLineChars="200"/>
        <w:jc w:val="both"/>
        <w:rPr>
          <w:rFonts w:hint="eastAsia"/>
          <w:color w:val="auto"/>
          <w:sz w:val="32"/>
          <w:szCs w:val="24"/>
          <w:highlight w:val="none"/>
        </w:rPr>
      </w:pPr>
      <w:r>
        <w:rPr>
          <w:rFonts w:hint="eastAsia"/>
          <w:color w:val="auto"/>
          <w:sz w:val="32"/>
          <w:szCs w:val="24"/>
          <w:highlight w:val="none"/>
          <w:lang w:val="en-US" w:eastAsia="zh-CN"/>
        </w:rPr>
        <w:t>2.</w:t>
      </w:r>
      <w:r>
        <w:rPr>
          <w:rFonts w:hint="eastAsia"/>
          <w:color w:val="auto"/>
          <w:sz w:val="32"/>
          <w:szCs w:val="24"/>
          <w:highlight w:val="none"/>
        </w:rPr>
        <w:t>报价高于最高限价的</w:t>
      </w:r>
      <w:r>
        <w:rPr>
          <w:rFonts w:hint="eastAsia"/>
          <w:color w:val="auto"/>
          <w:sz w:val="32"/>
          <w:szCs w:val="24"/>
          <w:highlight w:val="none"/>
          <w:lang w:val="en-US" w:eastAsia="zh-CN"/>
        </w:rPr>
        <w:t>或者低于最高限价50%的</w:t>
      </w:r>
      <w:r>
        <w:rPr>
          <w:rFonts w:hint="eastAsia"/>
          <w:color w:val="auto"/>
          <w:sz w:val="32"/>
          <w:szCs w:val="24"/>
          <w:highlight w:val="none"/>
        </w:rPr>
        <w:t>视为报价无效</w:t>
      </w:r>
      <w:r>
        <w:rPr>
          <w:rFonts w:hint="eastAsia"/>
          <w:color w:val="auto"/>
          <w:sz w:val="32"/>
          <w:szCs w:val="24"/>
          <w:highlight w:val="none"/>
          <w:lang w:eastAsia="zh-CN"/>
        </w:rPr>
        <w:t>（</w:t>
      </w:r>
      <w:r>
        <w:rPr>
          <w:rFonts w:hint="eastAsia"/>
          <w:color w:val="auto"/>
          <w:sz w:val="32"/>
          <w:szCs w:val="24"/>
          <w:highlight w:val="none"/>
          <w:lang w:val="en-US" w:eastAsia="zh-CN"/>
        </w:rPr>
        <w:t>对深圳出版社和华文国际传媒有限公司分别单独报价</w:t>
      </w:r>
      <w:r>
        <w:rPr>
          <w:rFonts w:hint="eastAsia"/>
          <w:color w:val="auto"/>
          <w:sz w:val="32"/>
          <w:szCs w:val="24"/>
          <w:highlight w:val="none"/>
          <w:lang w:eastAsia="zh-CN"/>
        </w:rPr>
        <w:t>）</w:t>
      </w:r>
      <w:r>
        <w:rPr>
          <w:rFonts w:hint="eastAsia"/>
          <w:color w:val="auto"/>
          <w:sz w:val="32"/>
          <w:szCs w:val="24"/>
          <w:highlight w:val="none"/>
        </w:rPr>
        <w:t>；投标报价应包含完成该活动所需的全部费用，未经采购人书面许可，采购人无需支付其他任何费用</w:t>
      </w:r>
      <w:r>
        <w:rPr>
          <w:rFonts w:hint="eastAsia"/>
          <w:color w:val="auto"/>
          <w:sz w:val="32"/>
          <w:szCs w:val="24"/>
          <w:highlight w:val="none"/>
          <w:lang w:eastAsia="zh-CN"/>
        </w:rPr>
        <w:t>。</w:t>
      </w:r>
    </w:p>
    <w:p w14:paraId="005E6878">
      <w:pPr>
        <w:pStyle w:val="42"/>
        <w:numPr>
          <w:ilvl w:val="0"/>
          <w:numId w:val="0"/>
        </w:numPr>
        <w:ind w:firstLine="640" w:firstLineChars="200"/>
        <w:jc w:val="both"/>
        <w:rPr>
          <w:rFonts w:hint="eastAsia"/>
          <w:color w:val="auto"/>
          <w:sz w:val="32"/>
          <w:szCs w:val="24"/>
          <w:highlight w:val="none"/>
          <w:lang w:val="en-US" w:eastAsia="zh-CN"/>
        </w:rPr>
      </w:pPr>
      <w:r>
        <w:rPr>
          <w:rFonts w:hint="eastAsia"/>
          <w:color w:val="auto"/>
          <w:sz w:val="32"/>
          <w:szCs w:val="24"/>
          <w:highlight w:val="none"/>
          <w:lang w:val="en-US" w:eastAsia="zh-CN"/>
        </w:rPr>
        <w:t>3.</w:t>
      </w:r>
      <w:r>
        <w:rPr>
          <w:rFonts w:hint="eastAsia"/>
          <w:color w:val="auto"/>
          <w:sz w:val="32"/>
          <w:szCs w:val="24"/>
          <w:highlight w:val="none"/>
        </w:rPr>
        <w:t>自递交响应文件截止之</w:t>
      </w:r>
      <w:r>
        <w:rPr>
          <w:rFonts w:hint="eastAsia"/>
          <w:color w:val="auto"/>
          <w:sz w:val="32"/>
          <w:szCs w:val="24"/>
          <w:highlight w:val="none"/>
          <w:lang w:val="en-US" w:eastAsia="zh-CN"/>
        </w:rPr>
        <w:t>时</w:t>
      </w:r>
      <w:r>
        <w:rPr>
          <w:rFonts w:hint="eastAsia"/>
          <w:color w:val="auto"/>
          <w:sz w:val="32"/>
          <w:szCs w:val="24"/>
          <w:highlight w:val="none"/>
        </w:rPr>
        <w:t>起</w:t>
      </w:r>
      <w:r>
        <w:rPr>
          <w:rFonts w:hint="eastAsia"/>
          <w:color w:val="auto"/>
          <w:sz w:val="32"/>
          <w:szCs w:val="24"/>
          <w:highlight w:val="none"/>
          <w:lang w:eastAsia="zh-CN"/>
        </w:rPr>
        <w:t>，</w:t>
      </w:r>
      <w:r>
        <w:rPr>
          <w:rFonts w:hint="eastAsia"/>
          <w:color w:val="auto"/>
          <w:sz w:val="32"/>
          <w:szCs w:val="24"/>
          <w:highlight w:val="none"/>
        </w:rPr>
        <w:t>供应商不得要求撤销或修改其响应文件</w:t>
      </w:r>
      <w:r>
        <w:rPr>
          <w:rFonts w:hint="eastAsia"/>
          <w:color w:val="auto"/>
          <w:sz w:val="32"/>
          <w:szCs w:val="24"/>
          <w:highlight w:val="none"/>
          <w:lang w:eastAsia="zh-CN"/>
        </w:rPr>
        <w:t>，</w:t>
      </w:r>
      <w:r>
        <w:rPr>
          <w:rFonts w:hint="eastAsia"/>
          <w:color w:val="auto"/>
          <w:sz w:val="32"/>
          <w:szCs w:val="24"/>
          <w:highlight w:val="none"/>
          <w:lang w:val="en-US" w:eastAsia="zh-CN"/>
        </w:rPr>
        <w:t>根据现场谈判情况进行修改的除外。</w:t>
      </w:r>
    </w:p>
    <w:p w14:paraId="4CD87552">
      <w:pPr>
        <w:pStyle w:val="42"/>
        <w:numPr>
          <w:ilvl w:val="0"/>
          <w:numId w:val="0"/>
        </w:numPr>
        <w:ind w:firstLine="640" w:firstLineChars="200"/>
        <w:jc w:val="both"/>
        <w:rPr>
          <w:rFonts w:hint="eastAsia"/>
          <w:color w:val="auto"/>
          <w:sz w:val="32"/>
          <w:szCs w:val="24"/>
          <w:highlight w:val="none"/>
          <w:lang w:eastAsia="zh-CN"/>
        </w:rPr>
      </w:pPr>
      <w:r>
        <w:rPr>
          <w:rFonts w:hint="eastAsia"/>
          <w:color w:val="auto"/>
          <w:sz w:val="32"/>
          <w:szCs w:val="24"/>
          <w:highlight w:val="none"/>
          <w:lang w:val="en-US" w:eastAsia="zh-CN"/>
        </w:rPr>
        <w:t>4.</w:t>
      </w:r>
      <w:r>
        <w:rPr>
          <w:rFonts w:hint="eastAsia"/>
          <w:color w:val="auto"/>
          <w:sz w:val="32"/>
          <w:szCs w:val="24"/>
          <w:highlight w:val="none"/>
        </w:rPr>
        <w:t>供应商不得偏离竞争性谈判文件的实质性要求</w:t>
      </w:r>
      <w:r>
        <w:rPr>
          <w:rFonts w:hint="eastAsia"/>
          <w:color w:val="auto"/>
          <w:sz w:val="32"/>
          <w:szCs w:val="24"/>
          <w:highlight w:val="none"/>
          <w:lang w:eastAsia="zh-CN"/>
        </w:rPr>
        <w:t>。</w:t>
      </w:r>
    </w:p>
    <w:p w14:paraId="4D99D842">
      <w:pPr>
        <w:pStyle w:val="42"/>
        <w:numPr>
          <w:ilvl w:val="0"/>
          <w:numId w:val="0"/>
        </w:numPr>
        <w:ind w:firstLine="640" w:firstLineChars="200"/>
        <w:jc w:val="both"/>
        <w:rPr>
          <w:rFonts w:hint="eastAsia"/>
          <w:color w:val="auto"/>
          <w:sz w:val="32"/>
          <w:szCs w:val="24"/>
          <w:highlight w:val="none"/>
          <w:lang w:eastAsia="zh-CN"/>
        </w:rPr>
      </w:pPr>
      <w:r>
        <w:rPr>
          <w:rFonts w:hint="eastAsia"/>
          <w:color w:val="auto"/>
          <w:sz w:val="32"/>
          <w:szCs w:val="24"/>
          <w:highlight w:val="none"/>
          <w:lang w:val="en-US" w:eastAsia="zh-CN"/>
        </w:rPr>
        <w:t>5.</w:t>
      </w:r>
      <w:r>
        <w:rPr>
          <w:rFonts w:hint="eastAsia"/>
          <w:color w:val="auto"/>
          <w:sz w:val="32"/>
          <w:szCs w:val="24"/>
          <w:highlight w:val="none"/>
        </w:rPr>
        <w:t>无论成交与否，各供应商递交的响应文件及相关资料概不退回，采购人将对供应商资料予以保密</w:t>
      </w:r>
      <w:r>
        <w:rPr>
          <w:rFonts w:hint="eastAsia"/>
          <w:color w:val="auto"/>
          <w:sz w:val="32"/>
          <w:szCs w:val="24"/>
          <w:highlight w:val="none"/>
          <w:lang w:eastAsia="zh-CN"/>
        </w:rPr>
        <w:t>。</w:t>
      </w:r>
      <w:bookmarkStart w:id="3" w:name="_Toc161591784"/>
    </w:p>
    <w:p w14:paraId="22671084">
      <w:pPr>
        <w:pStyle w:val="42"/>
        <w:numPr>
          <w:ilvl w:val="0"/>
          <w:numId w:val="0"/>
        </w:numPr>
        <w:ind w:firstLine="640" w:firstLineChars="200"/>
        <w:jc w:val="both"/>
        <w:rPr>
          <w:rFonts w:hint="eastAsia"/>
          <w:color w:val="auto"/>
          <w:sz w:val="32"/>
          <w:szCs w:val="24"/>
          <w:highlight w:val="none"/>
        </w:rPr>
      </w:pPr>
      <w:r>
        <w:rPr>
          <w:rFonts w:hint="eastAsia"/>
          <w:color w:val="auto"/>
          <w:sz w:val="32"/>
          <w:szCs w:val="24"/>
          <w:highlight w:val="none"/>
          <w:lang w:val="en-US" w:eastAsia="zh-CN"/>
        </w:rPr>
        <w:t>6.</w:t>
      </w:r>
      <w:r>
        <w:rPr>
          <w:rFonts w:hint="eastAsia"/>
          <w:color w:val="auto"/>
          <w:sz w:val="32"/>
          <w:szCs w:val="24"/>
          <w:highlight w:val="none"/>
        </w:rPr>
        <w:t>采购文件的组成</w:t>
      </w:r>
    </w:p>
    <w:p w14:paraId="66F16E6B">
      <w:pPr>
        <w:pStyle w:val="42"/>
        <w:numPr>
          <w:ilvl w:val="0"/>
          <w:numId w:val="0"/>
        </w:numPr>
        <w:ind w:firstLine="640" w:firstLineChars="200"/>
        <w:jc w:val="both"/>
        <w:rPr>
          <w:rFonts w:hint="eastAsia"/>
          <w:sz w:val="32"/>
          <w:szCs w:val="24"/>
          <w:highlight w:val="none"/>
        </w:rPr>
      </w:pPr>
      <w:r>
        <w:rPr>
          <w:rFonts w:hint="eastAsia"/>
          <w:color w:val="auto"/>
          <w:sz w:val="32"/>
          <w:szCs w:val="24"/>
          <w:highlight w:val="none"/>
        </w:rPr>
        <w:t>本文件及依法对本文件所做的</w:t>
      </w:r>
      <w:r>
        <w:rPr>
          <w:rFonts w:hint="eastAsia"/>
          <w:sz w:val="32"/>
          <w:szCs w:val="24"/>
          <w:highlight w:val="none"/>
        </w:rPr>
        <w:t>书面澄清或修改的内容均为采购文件的组成部分。供应商应认真检查采购文件的内容是否齐全，如有遗漏，应及时向采购人提出，否则责任自负。</w:t>
      </w:r>
    </w:p>
    <w:p w14:paraId="5725F03D">
      <w:pPr>
        <w:pStyle w:val="42"/>
        <w:numPr>
          <w:ilvl w:val="0"/>
          <w:numId w:val="0"/>
        </w:numPr>
        <w:ind w:firstLine="640" w:firstLineChars="200"/>
        <w:jc w:val="both"/>
        <w:rPr>
          <w:rFonts w:hint="eastAsia"/>
          <w:sz w:val="32"/>
          <w:szCs w:val="24"/>
          <w:highlight w:val="none"/>
        </w:rPr>
      </w:pPr>
      <w:r>
        <w:rPr>
          <w:rFonts w:hint="eastAsia"/>
          <w:sz w:val="32"/>
          <w:szCs w:val="24"/>
          <w:highlight w:val="none"/>
          <w:lang w:val="en-US" w:eastAsia="zh-CN"/>
        </w:rPr>
        <w:t>7.</w:t>
      </w:r>
      <w:r>
        <w:rPr>
          <w:rFonts w:hint="eastAsia"/>
          <w:sz w:val="32"/>
          <w:szCs w:val="24"/>
          <w:highlight w:val="none"/>
        </w:rPr>
        <w:t>采购文件的澄清、修改</w:t>
      </w:r>
    </w:p>
    <w:p w14:paraId="657E272E">
      <w:pPr>
        <w:pStyle w:val="42"/>
        <w:numPr>
          <w:ilvl w:val="0"/>
          <w:numId w:val="0"/>
        </w:numPr>
        <w:ind w:firstLine="640" w:firstLineChars="200"/>
        <w:jc w:val="both"/>
        <w:rPr>
          <w:rFonts w:hint="eastAsia"/>
          <w:sz w:val="32"/>
          <w:szCs w:val="24"/>
          <w:highlight w:val="none"/>
        </w:rPr>
      </w:pPr>
      <w:r>
        <w:rPr>
          <w:rFonts w:hint="eastAsia"/>
          <w:sz w:val="32"/>
          <w:szCs w:val="24"/>
          <w:highlight w:val="none"/>
        </w:rPr>
        <w:t>采购人有权对已发出的采购文件进行必要的澄清或者修改，但不得改变采购标的、资格条件等实质性内容。</w:t>
      </w:r>
    </w:p>
    <w:p w14:paraId="4CD506D3">
      <w:pPr>
        <w:pStyle w:val="42"/>
        <w:numPr>
          <w:ilvl w:val="0"/>
          <w:numId w:val="0"/>
        </w:numPr>
        <w:ind w:firstLine="640" w:firstLineChars="200"/>
        <w:jc w:val="both"/>
        <w:rPr>
          <w:rFonts w:hint="eastAsia"/>
          <w:sz w:val="32"/>
          <w:szCs w:val="24"/>
          <w:highlight w:val="none"/>
        </w:rPr>
      </w:pPr>
      <w:r>
        <w:rPr>
          <w:rFonts w:hint="eastAsia"/>
          <w:sz w:val="32"/>
          <w:szCs w:val="24"/>
          <w:highlight w:val="none"/>
        </w:rPr>
        <w:t>供应商对采购文件如有疑点要求澄清，或认为有必要与采购人进行澄清的，可用书面形式通知项目联系人，但通知</w:t>
      </w:r>
      <w:r>
        <w:rPr>
          <w:rFonts w:hint="eastAsia"/>
          <w:sz w:val="32"/>
          <w:szCs w:val="24"/>
          <w:highlight w:val="none"/>
          <w:lang w:val="en-US" w:eastAsia="zh-CN"/>
        </w:rPr>
        <w:t>送达时间</w:t>
      </w:r>
      <w:r>
        <w:rPr>
          <w:rFonts w:hint="eastAsia"/>
          <w:sz w:val="32"/>
          <w:szCs w:val="24"/>
          <w:highlight w:val="none"/>
        </w:rPr>
        <w:t>不得迟于</w:t>
      </w:r>
      <w:r>
        <w:rPr>
          <w:rFonts w:hint="eastAsia" w:ascii="仿宋_GB2312" w:hAnsi="仿宋_GB2312" w:eastAsia="仿宋_GB2312" w:cs="仿宋_GB2312"/>
          <w:color w:val="auto"/>
          <w:sz w:val="32"/>
          <w:szCs w:val="32"/>
          <w:highlight w:val="none"/>
        </w:rPr>
        <w:t>响应文件递交截止时间</w:t>
      </w:r>
      <w:r>
        <w:rPr>
          <w:rFonts w:hint="eastAsia" w:ascii="仿宋_GB2312" w:hAnsi="仿宋_GB2312" w:cs="仿宋_GB2312"/>
          <w:color w:val="auto"/>
          <w:sz w:val="32"/>
          <w:szCs w:val="32"/>
          <w:highlight w:val="none"/>
          <w:lang w:val="en-US" w:eastAsia="zh-CN"/>
        </w:rPr>
        <w:t>前24小时，即</w:t>
      </w:r>
      <w:r>
        <w:rPr>
          <w:rFonts w:hint="eastAsia" w:ascii="仿宋_GB2312" w:hAnsi="仿宋_GB2312" w:eastAsia="仿宋_GB2312" w:cs="仿宋_GB2312"/>
          <w:color w:val="auto"/>
          <w:sz w:val="32"/>
          <w:szCs w:val="32"/>
          <w:highlight w:val="none"/>
        </w:rPr>
        <w:t>2026年</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日</w:t>
      </w:r>
      <w:r>
        <w:rPr>
          <w:rFonts w:hint="eastAsia" w:ascii="仿宋_GB2312" w:hAnsi="仿宋_GB2312" w:cs="仿宋_GB2312"/>
          <w:color w:val="auto"/>
          <w:sz w:val="32"/>
          <w:szCs w:val="32"/>
          <w:highlight w:val="none"/>
          <w:lang w:val="en-US" w:eastAsia="zh-CN"/>
        </w:rPr>
        <w:t>上午11:00</w:t>
      </w:r>
      <w:r>
        <w:rPr>
          <w:rFonts w:hint="eastAsia"/>
          <w:color w:val="auto"/>
          <w:sz w:val="32"/>
          <w:szCs w:val="24"/>
          <w:highlight w:val="none"/>
          <w:lang w:eastAsia="zh-CN"/>
        </w:rPr>
        <w:t>（</w:t>
      </w:r>
      <w:r>
        <w:rPr>
          <w:rFonts w:hint="eastAsia"/>
          <w:color w:val="auto"/>
          <w:sz w:val="32"/>
          <w:szCs w:val="24"/>
          <w:highlight w:val="none"/>
          <w:lang w:val="en-US" w:eastAsia="zh-CN"/>
        </w:rPr>
        <w:t>不含休息日，暂定，根据实际时间相应调整</w:t>
      </w:r>
      <w:r>
        <w:rPr>
          <w:rFonts w:hint="eastAsia"/>
          <w:color w:val="auto"/>
          <w:sz w:val="32"/>
          <w:szCs w:val="24"/>
          <w:highlight w:val="none"/>
          <w:lang w:eastAsia="zh-CN"/>
        </w:rPr>
        <w:t>）</w:t>
      </w:r>
      <w:r>
        <w:rPr>
          <w:rFonts w:hint="eastAsia" w:ascii="仿宋_GB2312" w:hAnsi="仿宋_GB2312" w:eastAsia="仿宋_GB2312" w:cs="仿宋_GB2312"/>
          <w:color w:val="auto"/>
          <w:sz w:val="32"/>
          <w:szCs w:val="32"/>
          <w:highlight w:val="none"/>
        </w:rPr>
        <w:t>。</w:t>
      </w:r>
      <w:r>
        <w:rPr>
          <w:rFonts w:hint="eastAsia"/>
          <w:sz w:val="32"/>
          <w:szCs w:val="24"/>
          <w:highlight w:val="none"/>
        </w:rPr>
        <w:t>采购人应及时作出答复，如认为有必要，可将采购文件的澄清在递交响应文件截止之日前以书面形式发给已经取得同一采购文件的所有供应商，但不指明澄清问题的来源。</w:t>
      </w:r>
    </w:p>
    <w:p w14:paraId="23739F27">
      <w:pPr>
        <w:pStyle w:val="42"/>
        <w:numPr>
          <w:ilvl w:val="0"/>
          <w:numId w:val="0"/>
        </w:numPr>
        <w:ind w:firstLine="640" w:firstLineChars="200"/>
        <w:jc w:val="both"/>
        <w:rPr>
          <w:rFonts w:hint="eastAsia"/>
          <w:sz w:val="32"/>
          <w:szCs w:val="24"/>
          <w:highlight w:val="none"/>
        </w:rPr>
      </w:pPr>
      <w:r>
        <w:rPr>
          <w:rFonts w:hint="eastAsia"/>
          <w:sz w:val="32"/>
          <w:szCs w:val="24"/>
          <w:highlight w:val="none"/>
        </w:rPr>
        <w:t>澄清或者修改的内容可能影响响应文件编制的，将顺延提交响应文件的截止时间。</w:t>
      </w:r>
    </w:p>
    <w:p w14:paraId="25AD4E1F">
      <w:pPr>
        <w:pStyle w:val="42"/>
        <w:numPr>
          <w:ilvl w:val="0"/>
          <w:numId w:val="0"/>
        </w:numPr>
        <w:ind w:firstLine="640" w:firstLineChars="200"/>
        <w:jc w:val="both"/>
        <w:rPr>
          <w:rFonts w:hint="eastAsia"/>
          <w:sz w:val="32"/>
          <w:szCs w:val="24"/>
          <w:highlight w:val="none"/>
        </w:rPr>
      </w:pPr>
      <w:r>
        <w:rPr>
          <w:rFonts w:hint="eastAsia"/>
          <w:sz w:val="32"/>
          <w:szCs w:val="24"/>
          <w:highlight w:val="none"/>
        </w:rPr>
        <w:t>本采购文件的解释权归采购人。供应商对采购人提供的采购文件所做出的推论、解释和结论，采购人概不负责。供应商未成交的原因，采购人没有义务解释。</w:t>
      </w:r>
    </w:p>
    <w:p w14:paraId="049AC286">
      <w:pPr>
        <w:spacing w:line="500" w:lineRule="exact"/>
        <w:ind w:firstLine="640"/>
        <w:jc w:val="both"/>
        <w:rPr>
          <w:rFonts w:hint="eastAsia" w:ascii="仿宋_GB2312" w:hAnsi="仿宋_GB2312" w:cs="仿宋_GB2312"/>
          <w:color w:val="FF0000"/>
          <w:sz w:val="32"/>
          <w:szCs w:val="32"/>
          <w:highlight w:val="none"/>
        </w:rPr>
      </w:pPr>
      <w:r>
        <w:rPr>
          <w:rFonts w:hint="eastAsia" w:ascii="仿宋_GB2312" w:hAnsi="宋体"/>
          <w:color w:val="FF0000"/>
          <w:sz w:val="32"/>
          <w:szCs w:val="32"/>
          <w:highlight w:val="none"/>
        </w:rPr>
        <w:br w:type="page"/>
      </w:r>
    </w:p>
    <w:p w14:paraId="6EE97B67">
      <w:pPr>
        <w:pStyle w:val="2"/>
        <w:ind w:firstLine="880"/>
        <w:rPr>
          <w:highlight w:val="none"/>
        </w:rPr>
      </w:pPr>
      <w:bookmarkStart w:id="4" w:name="_Toc204764241"/>
      <w:r>
        <w:rPr>
          <w:rFonts w:hint="eastAsia"/>
          <w:highlight w:val="none"/>
        </w:rPr>
        <w:t>第</w:t>
      </w:r>
      <w:r>
        <w:rPr>
          <w:rFonts w:hint="eastAsia"/>
          <w:highlight w:val="none"/>
          <w:lang w:val="en-US" w:eastAsia="zh-CN"/>
        </w:rPr>
        <w:t>三</w:t>
      </w:r>
      <w:r>
        <w:rPr>
          <w:rFonts w:hint="eastAsia"/>
          <w:highlight w:val="none"/>
        </w:rPr>
        <w:t xml:space="preserve">章 </w:t>
      </w:r>
      <w:bookmarkEnd w:id="3"/>
      <w:r>
        <w:rPr>
          <w:rFonts w:hint="eastAsia"/>
          <w:highlight w:val="none"/>
        </w:rPr>
        <w:t>响应文件</w:t>
      </w:r>
      <w:bookmarkEnd w:id="4"/>
    </w:p>
    <w:p w14:paraId="0E3002D3">
      <w:pPr>
        <w:numPr>
          <w:ilvl w:val="0"/>
          <w:numId w:val="5"/>
        </w:numPr>
        <w:spacing w:line="500" w:lineRule="exact"/>
        <w:ind w:firstLine="640"/>
        <w:rPr>
          <w:rFonts w:hint="eastAsia" w:ascii="黑体" w:hAnsi="黑体" w:eastAsia="黑体"/>
          <w:sz w:val="32"/>
          <w:szCs w:val="32"/>
          <w:highlight w:val="none"/>
        </w:rPr>
      </w:pPr>
      <w:r>
        <w:rPr>
          <w:rFonts w:hint="eastAsia" w:ascii="黑体" w:hAnsi="黑体" w:eastAsia="黑体"/>
          <w:sz w:val="32"/>
          <w:szCs w:val="32"/>
          <w:highlight w:val="none"/>
        </w:rPr>
        <w:t>响应文件的组成</w:t>
      </w:r>
    </w:p>
    <w:p w14:paraId="57B10CF4">
      <w:pPr>
        <w:shd w:val="clea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1.响应文件目录表（参考附件1）；</w:t>
      </w:r>
    </w:p>
    <w:p w14:paraId="342333BF">
      <w:pPr>
        <w:shd w:val="clea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2.响应函（参考附件2）；</w:t>
      </w:r>
    </w:p>
    <w:p w14:paraId="769DA987">
      <w:pPr>
        <w:shd w:val="clea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3.负责人身份证明书与身份证复印件（复印件加盖公章），如非负责人作为供应商代表的，则需同时提供负责人授权委托书与委托代理人身份证复印件（复印件加盖公章）（参考附件3、附件 4）；</w:t>
      </w:r>
    </w:p>
    <w:p w14:paraId="0B2A221C">
      <w:pPr>
        <w:shd w:val="clea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4.审查文件：</w:t>
      </w:r>
    </w:p>
    <w:p w14:paraId="10AFCBF0">
      <w:pPr>
        <w:shd w:val="clea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（1）司法厅颁发的律师事务所执业许可证或律师事务所分所执业许可证的加盖公章复印件（总部在深圳或在深圳设有分支机构）；</w:t>
      </w:r>
    </w:p>
    <w:p w14:paraId="1576B932">
      <w:pPr>
        <w:shd w:val="clea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（2）本项目主办律师和驻点律师的律师执业证复印件（复印件加盖公章）（标明谁是主办律师，谁是驻点律师）；</w:t>
      </w:r>
    </w:p>
    <w:p w14:paraId="00C7753C">
      <w:pPr>
        <w:shd w:val="clear"/>
        <w:spacing w:line="560" w:lineRule="exact"/>
        <w:ind w:left="0" w:leftChars="0" w:firstLine="0" w:firstLineChars="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本项目主办律师、驻点律师简介及执业年限证明文件，说明是否熟悉知识产权和版权保护法、合同法、劳动法、民事诉讼法等法律法规；</w:t>
      </w:r>
    </w:p>
    <w:p w14:paraId="0F88674A">
      <w:pPr>
        <w:shd w:val="clea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（3）近三年（2023年5月1日至响应截止日）律师事务所及拟提供服务主办律师、驻点律师年度考核合格的证明文件；</w:t>
      </w:r>
    </w:p>
    <w:p w14:paraId="0809BD19">
      <w:pPr>
        <w:shd w:val="clea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5.参选人本项目主办律师或驻点律师近三年（从</w:t>
      </w:r>
      <w:r>
        <w:rPr>
          <w:rFonts w:hint="eastAsia" w:ascii="仿宋" w:hAnsi="仿宋" w:eastAsia="仿宋" w:cs="仿宋"/>
          <w:color w:val="auto"/>
          <w:sz w:val="32"/>
          <w:szCs w:val="32"/>
          <w:highlight w:val="none"/>
        </w:rPr>
        <w:t>20</w:t>
      </w:r>
      <w:r>
        <w:rPr>
          <w:rFonts w:hint="eastAsia" w:ascii="仿宋" w:hAnsi="仿宋" w:eastAsia="仿宋" w:cs="仿宋"/>
          <w:color w:val="auto"/>
          <w:sz w:val="32"/>
          <w:szCs w:val="32"/>
          <w:highlight w:val="none"/>
          <w:lang w:val="en-US" w:eastAsia="zh-CN"/>
        </w:rPr>
        <w:t>23</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月1日至响应截止日期间</w:t>
      </w:r>
      <w:r>
        <w:rPr>
          <w:rFonts w:hint="eastAsia" w:ascii="仿宋" w:hAnsi="仿宋" w:eastAsia="仿宋" w:cs="仿宋"/>
          <w:color w:val="auto"/>
          <w:sz w:val="32"/>
          <w:szCs w:val="32"/>
          <w:highlight w:val="none"/>
          <w:lang w:val="en-US" w:eastAsia="zh-CN"/>
        </w:rPr>
        <w:t>）（近三年）</w:t>
      </w:r>
      <w:r>
        <w:rPr>
          <w:rFonts w:hint="eastAsia" w:ascii="仿宋" w:hAnsi="仿宋" w:eastAsia="仿宋" w:cs="仿宋"/>
          <w:color w:val="auto"/>
          <w:sz w:val="32"/>
          <w:szCs w:val="32"/>
          <w:highlight w:val="none"/>
        </w:rPr>
        <w:t>为政府机关国企和事业单位提供常年法律顾问的</w:t>
      </w:r>
      <w:r>
        <w:rPr>
          <w:rFonts w:hint="eastAsia" w:ascii="仿宋" w:hAnsi="仿宋" w:eastAsia="仿宋" w:cs="仿宋"/>
          <w:color w:val="auto"/>
          <w:sz w:val="32"/>
          <w:szCs w:val="32"/>
          <w:highlight w:val="none"/>
          <w:lang w:val="en-US" w:eastAsia="zh-CN"/>
        </w:rPr>
        <w:t>合同清单（参考附件7）以及相应的合同证明页复印件（复印件加盖公章）【</w:t>
      </w:r>
      <w:r>
        <w:rPr>
          <w:rFonts w:hint="eastAsia" w:ascii="仿宋" w:hAnsi="仿宋" w:eastAsia="仿宋" w:cs="仿宋"/>
          <w:color w:val="auto"/>
          <w:sz w:val="32"/>
          <w:szCs w:val="32"/>
          <w:highlight w:val="none"/>
        </w:rPr>
        <w:t>参选人本项目主办律师</w:t>
      </w:r>
      <w:r>
        <w:rPr>
          <w:rFonts w:hint="eastAsia" w:ascii="仿宋" w:hAnsi="仿宋" w:eastAsia="仿宋" w:cs="仿宋"/>
          <w:color w:val="auto"/>
          <w:sz w:val="32"/>
          <w:szCs w:val="32"/>
          <w:highlight w:val="none"/>
          <w:lang w:val="en-US" w:eastAsia="zh-CN"/>
        </w:rPr>
        <w:t>和驻点律师从</w:t>
      </w:r>
      <w:r>
        <w:rPr>
          <w:rFonts w:hint="eastAsia" w:ascii="仿宋" w:hAnsi="仿宋" w:eastAsia="仿宋" w:cs="仿宋"/>
          <w:color w:val="auto"/>
          <w:sz w:val="32"/>
          <w:szCs w:val="32"/>
          <w:highlight w:val="none"/>
        </w:rPr>
        <w:t>20</w:t>
      </w:r>
      <w:r>
        <w:rPr>
          <w:rFonts w:hint="eastAsia" w:ascii="仿宋" w:hAnsi="仿宋" w:eastAsia="仿宋" w:cs="仿宋"/>
          <w:color w:val="auto"/>
          <w:sz w:val="32"/>
          <w:szCs w:val="32"/>
          <w:highlight w:val="none"/>
          <w:lang w:val="en-US" w:eastAsia="zh-CN"/>
        </w:rPr>
        <w:t>23</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月1日至响应截止日期间</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近三年</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均</w:t>
      </w:r>
      <w:r>
        <w:rPr>
          <w:rFonts w:hint="eastAsia" w:ascii="仿宋" w:hAnsi="仿宋" w:eastAsia="仿宋" w:cs="仿宋"/>
          <w:color w:val="auto"/>
          <w:sz w:val="32"/>
          <w:szCs w:val="32"/>
          <w:highlight w:val="none"/>
        </w:rPr>
        <w:t>应具备为政府机关国企和事业单位提供常年法律顾问的经验</w:t>
      </w:r>
      <w:r>
        <w:rPr>
          <w:rFonts w:hint="eastAsia" w:ascii="仿宋" w:hAnsi="仿宋" w:eastAsia="仿宋" w:cs="仿宋"/>
          <w:color w:val="auto"/>
          <w:sz w:val="32"/>
          <w:szCs w:val="32"/>
          <w:highlight w:val="none"/>
          <w:lang w:val="en-US" w:eastAsia="zh-CN"/>
        </w:rPr>
        <w:t>】；</w:t>
      </w:r>
    </w:p>
    <w:p w14:paraId="4BECE5D0">
      <w:pPr>
        <w:shd w:val="clea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6.参选人本项目主办律师或驻点律师近三年（从</w:t>
      </w:r>
      <w:r>
        <w:rPr>
          <w:rFonts w:hint="eastAsia" w:ascii="仿宋" w:hAnsi="仿宋" w:eastAsia="仿宋" w:cs="仿宋"/>
          <w:color w:val="auto"/>
          <w:sz w:val="32"/>
          <w:szCs w:val="32"/>
          <w:highlight w:val="none"/>
        </w:rPr>
        <w:t>20</w:t>
      </w:r>
      <w:r>
        <w:rPr>
          <w:rFonts w:hint="eastAsia" w:ascii="仿宋" w:hAnsi="仿宋" w:eastAsia="仿宋" w:cs="仿宋"/>
          <w:color w:val="auto"/>
          <w:sz w:val="32"/>
          <w:szCs w:val="32"/>
          <w:highlight w:val="none"/>
          <w:lang w:val="en-US" w:eastAsia="zh-CN"/>
        </w:rPr>
        <w:t>23</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月1日至响应截止日期间</w:t>
      </w:r>
      <w:r>
        <w:rPr>
          <w:rFonts w:hint="eastAsia" w:ascii="仿宋" w:hAnsi="仿宋" w:eastAsia="仿宋" w:cs="仿宋"/>
          <w:color w:val="auto"/>
          <w:sz w:val="32"/>
          <w:szCs w:val="32"/>
          <w:highlight w:val="none"/>
          <w:lang w:val="en-US" w:eastAsia="zh-CN"/>
        </w:rPr>
        <w:t>）（近三年）承办经济纠纷或著作权纠纷等相关法律事务案件胜诉清单以及相关佐证材料复印件（复印件加盖公章）；</w:t>
      </w:r>
    </w:p>
    <w:p w14:paraId="0ECA8A94">
      <w:pPr>
        <w:shd w:val="clea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7.报价文件：报价表（参考附件 5）（面向深圳出版社和华文国际传媒有限公司需分别按要求提供报价）；报价函（参考附件6）；</w:t>
      </w:r>
    </w:p>
    <w:p w14:paraId="4882C83E">
      <w:pPr>
        <w:shd w:val="clea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8.供应商基本情况表（附件8）；</w:t>
      </w:r>
    </w:p>
    <w:p w14:paraId="49160ACF">
      <w:pPr>
        <w:shd w:val="clear"/>
        <w:spacing w:line="560" w:lineRule="exact"/>
        <w:ind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9.常年法律顾问服务方案（无特定格式要求，但需在服务方案里面，针对深圳出版社和华文国际传媒有限公司服务内容服务需求差异化的部分分别表述）。</w:t>
      </w:r>
    </w:p>
    <w:p w14:paraId="57993E6B">
      <w:pPr>
        <w:shd w:val="clear"/>
        <w:spacing w:line="560" w:lineRule="exact"/>
        <w:ind w:firstLine="640" w:firstLineChars="200"/>
        <w:rPr>
          <w:rFonts w:hint="eastAsia" w:ascii="黑体" w:hAnsi="黑体" w:eastAsia="黑体"/>
          <w:sz w:val="32"/>
          <w:szCs w:val="32"/>
          <w:highlight w:val="none"/>
        </w:rPr>
      </w:pPr>
      <w:r>
        <w:rPr>
          <w:rFonts w:hint="eastAsia" w:ascii="仿宋" w:hAnsi="仿宋" w:eastAsia="仿宋" w:cs="仿宋"/>
          <w:color w:val="auto"/>
          <w:sz w:val="32"/>
          <w:szCs w:val="32"/>
          <w:highlight w:val="none"/>
          <w:lang w:val="en-US" w:eastAsia="zh-CN"/>
        </w:rPr>
        <w:t>供应商在评审过程中作出的符合采购文件要求的澄清、说明和补正，构成响应文件的组成部分。</w:t>
      </w:r>
    </w:p>
    <w:p w14:paraId="23C8585F">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firstLine="640"/>
        <w:textAlignment w:val="auto"/>
        <w:rPr>
          <w:rFonts w:hint="eastAsia" w:ascii="黑体" w:hAnsi="黑体" w:eastAsia="黑体"/>
          <w:sz w:val="32"/>
          <w:szCs w:val="32"/>
          <w:highlight w:val="none"/>
        </w:rPr>
      </w:pPr>
      <w:r>
        <w:rPr>
          <w:rFonts w:hint="eastAsia" w:ascii="黑体" w:hAnsi="黑体" w:eastAsia="黑体"/>
          <w:sz w:val="32"/>
          <w:szCs w:val="32"/>
          <w:highlight w:val="none"/>
        </w:rPr>
        <w:t>响应文件的制作</w:t>
      </w:r>
    </w:p>
    <w:p w14:paraId="2914D33A">
      <w:pPr>
        <w:keepNext w:val="0"/>
        <w:keepLines w:val="0"/>
        <w:pageBreakBefore w:val="0"/>
        <w:widowControl/>
        <w:numPr>
          <w:ilvl w:val="0"/>
          <w:numId w:val="6"/>
        </w:numPr>
        <w:shd w:val="clear"/>
        <w:kinsoku/>
        <w:wordWrap w:val="0"/>
        <w:overflowPunct/>
        <w:topLinePunct/>
        <w:autoSpaceDE/>
        <w:autoSpaceDN/>
        <w:bidi w:val="0"/>
        <w:adjustRightInd w:val="0"/>
        <w:snapToGrid w:val="0"/>
        <w:spacing w:line="520" w:lineRule="exact"/>
        <w:ind w:firstLine="640" w:firstLineChars="200"/>
        <w:jc w:val="both"/>
        <w:textAlignment w:val="baseline"/>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响应文件应按照</w:t>
      </w:r>
      <w:r>
        <w:rPr>
          <w:rFonts w:hint="eastAsia" w:ascii="仿宋_GB2312" w:hAnsi="仿宋_GB2312" w:cs="仿宋_GB2312"/>
          <w:color w:val="auto"/>
          <w:sz w:val="32"/>
          <w:szCs w:val="32"/>
          <w:highlight w:val="none"/>
          <w:lang w:val="en-US" w:eastAsia="zh-CN"/>
        </w:rPr>
        <w:t>第三章响应</w:t>
      </w:r>
      <w:r>
        <w:rPr>
          <w:rFonts w:hint="eastAsia" w:ascii="仿宋_GB2312" w:hAnsi="仿宋_GB2312" w:eastAsia="仿宋_GB2312" w:cs="仿宋_GB2312"/>
          <w:color w:val="auto"/>
          <w:sz w:val="32"/>
          <w:szCs w:val="32"/>
          <w:highlight w:val="none"/>
        </w:rPr>
        <w:t>文件要求的格式和顺序编排，双面打印，装订为一册。须有详细目录，并编上页码，非电子文档（各种资质、合同等的复印件），可以手工填写统一的页码</w:t>
      </w:r>
      <w:r>
        <w:rPr>
          <w:rFonts w:hint="eastAsia" w:ascii="仿宋_GB2312" w:hAnsi="仿宋_GB2312" w:eastAsia="仿宋_GB2312" w:cs="仿宋_GB2312"/>
          <w:color w:val="auto"/>
          <w:sz w:val="32"/>
          <w:szCs w:val="32"/>
          <w:highlight w:val="none"/>
          <w:lang w:eastAsia="zh-CN"/>
        </w:rPr>
        <w:t>。</w:t>
      </w:r>
    </w:p>
    <w:p w14:paraId="58DD74AE">
      <w:pPr>
        <w:keepNext w:val="0"/>
        <w:keepLines w:val="0"/>
        <w:pageBreakBefore w:val="0"/>
        <w:widowControl/>
        <w:numPr>
          <w:ilvl w:val="0"/>
          <w:numId w:val="6"/>
        </w:numPr>
        <w:shd w:val="clear"/>
        <w:kinsoku/>
        <w:wordWrap w:val="0"/>
        <w:overflowPunct/>
        <w:topLinePunct/>
        <w:autoSpaceDE/>
        <w:autoSpaceDN/>
        <w:bidi w:val="0"/>
        <w:adjustRightInd w:val="0"/>
        <w:snapToGrid w:val="0"/>
        <w:spacing w:line="520" w:lineRule="exact"/>
        <w:ind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响应文件的副本可采用正本的复印件。响应文件一式</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份，正本1份，副本</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份，多页加盖骑缝章</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每份响应文件的封面要明确注明“正本”或“副本”字样， 同时注明项目名称、供应商名称</w:t>
      </w:r>
      <w:r>
        <w:rPr>
          <w:rFonts w:hint="eastAsia" w:ascii="仿宋_GB2312" w:hAnsi="仿宋_GB2312" w:cs="仿宋_GB2312"/>
          <w:color w:val="auto"/>
          <w:sz w:val="32"/>
          <w:szCs w:val="32"/>
          <w:highlight w:val="none"/>
          <w:lang w:val="en-US" w:eastAsia="zh-CN"/>
        </w:rPr>
        <w:t>和联系方式、邮箱以及</w:t>
      </w:r>
      <w:r>
        <w:rPr>
          <w:rFonts w:hint="eastAsia" w:ascii="仿宋_GB2312" w:hAnsi="仿宋_GB2312" w:eastAsia="仿宋_GB2312" w:cs="仿宋_GB2312"/>
          <w:color w:val="auto"/>
          <w:sz w:val="32"/>
          <w:szCs w:val="32"/>
          <w:highlight w:val="none"/>
        </w:rPr>
        <w:t>日期并加盖公章。</w:t>
      </w:r>
    </w:p>
    <w:p w14:paraId="776DE694">
      <w:pPr>
        <w:keepNext w:val="0"/>
        <w:keepLines w:val="0"/>
        <w:pageBreakBefore w:val="0"/>
        <w:widowControl/>
        <w:numPr>
          <w:ilvl w:val="0"/>
          <w:numId w:val="6"/>
        </w:numPr>
        <w:shd w:val="clear"/>
        <w:kinsoku/>
        <w:wordWrap w:val="0"/>
        <w:overflowPunct/>
        <w:topLinePunct/>
        <w:autoSpaceDE/>
        <w:autoSpaceDN/>
        <w:bidi w:val="0"/>
        <w:adjustRightInd w:val="0"/>
        <w:snapToGrid w:val="0"/>
        <w:spacing w:line="520" w:lineRule="exact"/>
        <w:ind w:firstLine="640" w:firstLineChars="200"/>
        <w:jc w:val="both"/>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正本与副本不符时，以正本为准。响应文件必须密封包装，密封处应标注响应项目名称</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单位</w:t>
      </w:r>
      <w:r>
        <w:rPr>
          <w:rFonts w:hint="eastAsia" w:ascii="仿宋_GB2312" w:hAnsi="仿宋_GB2312" w:eastAsia="仿宋_GB2312" w:cs="仿宋_GB2312"/>
          <w:color w:val="auto"/>
          <w:sz w:val="32"/>
          <w:szCs w:val="32"/>
          <w:highlight w:val="none"/>
        </w:rPr>
        <w:t>并加盖</w:t>
      </w:r>
      <w:r>
        <w:rPr>
          <w:rFonts w:hint="eastAsia" w:ascii="仿宋_GB2312" w:hAnsi="仿宋_GB2312" w:eastAsia="仿宋_GB2312" w:cs="仿宋_GB2312"/>
          <w:color w:val="auto"/>
          <w:sz w:val="32"/>
          <w:szCs w:val="32"/>
          <w:highlight w:val="none"/>
          <w:lang w:val="en-US" w:eastAsia="zh-CN"/>
        </w:rPr>
        <w:t>公章</w:t>
      </w:r>
      <w:r>
        <w:rPr>
          <w:rFonts w:hint="eastAsia" w:ascii="仿宋_GB2312" w:hAnsi="仿宋_GB2312" w:eastAsia="仿宋_GB2312" w:cs="仿宋_GB2312"/>
          <w:color w:val="auto"/>
          <w:sz w:val="32"/>
          <w:szCs w:val="32"/>
          <w:highlight w:val="none"/>
        </w:rPr>
        <w:t>。未按要求密封</w:t>
      </w:r>
      <w:r>
        <w:rPr>
          <w:rFonts w:hint="eastAsia" w:ascii="仿宋_GB2312" w:hAnsi="仿宋_GB2312" w:eastAsia="仿宋_GB2312" w:cs="仿宋_GB2312"/>
          <w:color w:val="auto"/>
          <w:sz w:val="32"/>
          <w:szCs w:val="32"/>
          <w:highlight w:val="none"/>
          <w:lang w:val="en-US" w:eastAsia="zh-CN"/>
        </w:rPr>
        <w:t>或盖章</w:t>
      </w:r>
      <w:r>
        <w:rPr>
          <w:rFonts w:hint="eastAsia" w:ascii="仿宋_GB2312" w:hAnsi="仿宋_GB2312" w:eastAsia="仿宋_GB2312" w:cs="仿宋_GB2312"/>
          <w:color w:val="auto"/>
          <w:sz w:val="32"/>
          <w:szCs w:val="32"/>
          <w:highlight w:val="none"/>
        </w:rPr>
        <w:t>的，将予以拒绝，作无效响应处理。</w:t>
      </w:r>
    </w:p>
    <w:p w14:paraId="7F7F76CB">
      <w:pPr>
        <w:shd w:val="clear"/>
        <w:spacing w:line="560" w:lineRule="exact"/>
        <w:ind w:firstLine="640" w:firstLineChars="200"/>
        <w:rPr>
          <w:rFonts w:ascii="楷体" w:hAnsi="楷体" w:eastAsia="楷体" w:cs="楷体"/>
          <w:color w:val="auto"/>
          <w:sz w:val="32"/>
          <w:szCs w:val="32"/>
          <w:highlight w:val="none"/>
        </w:rPr>
      </w:pPr>
      <w:bookmarkStart w:id="5" w:name="_Hlk161591584"/>
      <w:r>
        <w:rPr>
          <w:rFonts w:hint="eastAsia" w:ascii="黑体" w:hAnsi="黑体" w:eastAsia="黑体" w:cs="黑体"/>
          <w:color w:val="auto"/>
          <w:sz w:val="32"/>
          <w:szCs w:val="32"/>
          <w:highlight w:val="none"/>
          <w:lang w:val="en-US" w:eastAsia="zh-CN"/>
        </w:rPr>
        <w:t>三</w:t>
      </w:r>
      <w:r>
        <w:rPr>
          <w:rFonts w:hint="eastAsia" w:ascii="黑体" w:hAnsi="黑体" w:eastAsia="黑体" w:cs="黑体"/>
          <w:color w:val="auto"/>
          <w:sz w:val="32"/>
          <w:szCs w:val="32"/>
          <w:highlight w:val="none"/>
        </w:rPr>
        <w:t>、无效响应文件</w:t>
      </w:r>
    </w:p>
    <w:p w14:paraId="25131E08">
      <w:pPr>
        <w:widowControl/>
        <w:shd w:val="clear"/>
        <w:spacing w:line="52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响应文件出现下列情况之一的，将作为无效响应文件处理，不予参加报价：</w:t>
      </w:r>
    </w:p>
    <w:p w14:paraId="01248BC7">
      <w:pPr>
        <w:widowControl/>
        <w:shd w:val="clear"/>
        <w:spacing w:line="52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1.逾期送达的响应文件；</w:t>
      </w:r>
    </w:p>
    <w:p w14:paraId="6632D154">
      <w:pPr>
        <w:widowControl/>
        <w:shd w:val="clear"/>
        <w:spacing w:line="52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2.不符合项目要求的；</w:t>
      </w:r>
    </w:p>
    <w:p w14:paraId="5E0C8E57">
      <w:pPr>
        <w:shd w:val="clea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3.其他未按要求递交的</w:t>
      </w:r>
      <w:r>
        <w:rPr>
          <w:rFonts w:hint="eastAsia" w:ascii="仿宋" w:hAnsi="仿宋" w:eastAsia="仿宋" w:cs="仿宋"/>
          <w:color w:val="auto"/>
          <w:sz w:val="32"/>
          <w:szCs w:val="32"/>
          <w:highlight w:val="none"/>
          <w:lang w:eastAsia="zh-CN"/>
        </w:rPr>
        <w:t>；</w:t>
      </w:r>
    </w:p>
    <w:p w14:paraId="7ADB3FE3">
      <w:pPr>
        <w:shd w:val="clea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lang w:eastAsia="zh-CN"/>
        </w:rPr>
        <w:t>供应商存在下列情形之一的，将被认定为串通行为并作无效响应处理：</w:t>
      </w:r>
    </w:p>
    <w:p w14:paraId="5F1C5FA7">
      <w:pPr>
        <w:shd w:val="clea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lang w:eastAsia="zh-CN"/>
        </w:rPr>
        <w:t>不同供应商的响应文件排版、格式（非采购文件提供的统一格式，而是供应商自行编制的内容的排版及格式）或者错、漏之处一致或雷同等情形，且不能合理解释的；</w:t>
      </w:r>
    </w:p>
    <w:p w14:paraId="19BBABA2">
      <w:pPr>
        <w:shd w:val="clea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lang w:eastAsia="zh-CN"/>
        </w:rPr>
        <w:t>由同一人或分别由几个有利害关系的人携带两个以上（含两个）供应商的资料参与资格审查或代表两个以上（含两个）供应商参加采购</w:t>
      </w:r>
      <w:r>
        <w:rPr>
          <w:rFonts w:hint="eastAsia" w:ascii="仿宋" w:hAnsi="仿宋" w:eastAsia="仿宋" w:cs="仿宋"/>
          <w:color w:val="auto"/>
          <w:sz w:val="32"/>
          <w:szCs w:val="32"/>
          <w:highlight w:val="none"/>
          <w:lang w:val="en-US" w:eastAsia="zh-CN"/>
        </w:rPr>
        <w:t>相关工作</w:t>
      </w:r>
      <w:r>
        <w:rPr>
          <w:rFonts w:hint="eastAsia" w:ascii="仿宋" w:hAnsi="仿宋" w:eastAsia="仿宋" w:cs="仿宋"/>
          <w:color w:val="auto"/>
          <w:sz w:val="32"/>
          <w:szCs w:val="32"/>
          <w:highlight w:val="none"/>
          <w:lang w:eastAsia="zh-CN"/>
        </w:rPr>
        <w:t>的；</w:t>
      </w:r>
    </w:p>
    <w:p w14:paraId="24E67E08">
      <w:pPr>
        <w:shd w:val="clea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lang w:eastAsia="zh-CN"/>
        </w:rPr>
        <w:t>供应商之间为谋取成交或者排斥特定供应商而采取的其他联合行动；</w:t>
      </w:r>
    </w:p>
    <w:p w14:paraId="2E811946">
      <w:pPr>
        <w:shd w:val="clea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lang w:eastAsia="zh-CN"/>
        </w:rPr>
        <w:t>）不同供应商的响应</w:t>
      </w:r>
      <w:r>
        <w:rPr>
          <w:rFonts w:hint="eastAsia" w:ascii="仿宋" w:hAnsi="仿宋" w:eastAsia="仿宋" w:cs="仿宋"/>
          <w:color w:val="auto"/>
          <w:sz w:val="32"/>
          <w:szCs w:val="32"/>
          <w:highlight w:val="none"/>
          <w:lang w:val="en-US" w:eastAsia="zh-CN"/>
        </w:rPr>
        <w:t>文件</w:t>
      </w:r>
      <w:r>
        <w:rPr>
          <w:rFonts w:hint="eastAsia" w:ascii="仿宋" w:hAnsi="仿宋" w:eastAsia="仿宋" w:cs="仿宋"/>
          <w:color w:val="auto"/>
          <w:sz w:val="32"/>
          <w:szCs w:val="32"/>
          <w:highlight w:val="none"/>
          <w:lang w:eastAsia="zh-CN"/>
        </w:rPr>
        <w:t>、电子版作者及修改者信息由同一单位或者个人编制；</w:t>
      </w:r>
    </w:p>
    <w:p w14:paraId="6825FD38">
      <w:pPr>
        <w:shd w:val="clea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lang w:eastAsia="zh-CN"/>
        </w:rPr>
        <w:t>不同供应商委托同一单位或者个人办理响应采购事宜；</w:t>
      </w:r>
    </w:p>
    <w:p w14:paraId="74C83462">
      <w:pPr>
        <w:shd w:val="clea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lang w:eastAsia="zh-CN"/>
        </w:rPr>
        <w:t>不同供应商的响应文件载明的项目管理成员为同一人；</w:t>
      </w:r>
    </w:p>
    <w:p w14:paraId="53FA0E98">
      <w:pPr>
        <w:shd w:val="clea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lang w:eastAsia="zh-CN"/>
        </w:rPr>
        <w:t>不同供应商的响应文件相互混装；</w:t>
      </w:r>
    </w:p>
    <w:p w14:paraId="61B71284">
      <w:pPr>
        <w:shd w:val="clea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8）其他</w:t>
      </w:r>
      <w:r>
        <w:rPr>
          <w:rFonts w:hint="eastAsia" w:ascii="仿宋" w:hAnsi="仿宋" w:eastAsia="仿宋" w:cs="仿宋"/>
          <w:color w:val="auto"/>
          <w:sz w:val="32"/>
          <w:szCs w:val="32"/>
          <w:highlight w:val="none"/>
          <w:lang w:eastAsia="zh-CN"/>
        </w:rPr>
        <w:t>经评审小组认定</w:t>
      </w:r>
      <w:r>
        <w:rPr>
          <w:rFonts w:hint="eastAsia" w:ascii="仿宋" w:hAnsi="仿宋" w:eastAsia="仿宋" w:cs="仿宋"/>
          <w:color w:val="auto"/>
          <w:sz w:val="32"/>
          <w:szCs w:val="32"/>
          <w:highlight w:val="none"/>
          <w:lang w:val="en-US" w:eastAsia="zh-CN"/>
        </w:rPr>
        <w:t>存在嫌疑且</w:t>
      </w:r>
      <w:r>
        <w:rPr>
          <w:rFonts w:hint="eastAsia" w:ascii="仿宋" w:hAnsi="仿宋" w:eastAsia="仿宋" w:cs="仿宋"/>
          <w:color w:val="auto"/>
          <w:sz w:val="32"/>
          <w:szCs w:val="32"/>
          <w:highlight w:val="none"/>
          <w:lang w:eastAsia="zh-CN"/>
        </w:rPr>
        <w:t>没有合理理由可以解释；</w:t>
      </w:r>
    </w:p>
    <w:p w14:paraId="69FE45F1">
      <w:pPr>
        <w:shd w:val="clear"/>
        <w:spacing w:line="56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lang w:eastAsia="zh-CN"/>
        </w:rPr>
        <w:t>有关法律法规或规章规定的其他串通投标行为。</w:t>
      </w:r>
    </w:p>
    <w:p w14:paraId="72B1C5F9">
      <w:pPr>
        <w:spacing w:line="500" w:lineRule="exact"/>
        <w:ind w:left="0" w:leftChars="0" w:firstLine="0" w:firstLineChars="0"/>
        <w:rPr>
          <w:rFonts w:hint="eastAsia" w:ascii="黑体" w:hAnsi="黑体" w:eastAsia="黑体" w:cs="仿宋_GB2312"/>
          <w:sz w:val="32"/>
          <w:szCs w:val="32"/>
          <w:highlight w:val="none"/>
        </w:rPr>
      </w:pPr>
      <w:r>
        <w:rPr>
          <w:rFonts w:hint="eastAsia" w:ascii="黑体" w:hAnsi="黑体" w:eastAsia="黑体" w:cs="仿宋_GB2312"/>
          <w:sz w:val="32"/>
          <w:szCs w:val="32"/>
          <w:highlight w:val="none"/>
        </w:rPr>
        <w:t>响应无效情形</w:t>
      </w:r>
    </w:p>
    <w:p w14:paraId="7AE110C9">
      <w:pPr>
        <w:ind w:firstLine="560"/>
        <w:rPr>
          <w:sz w:val="32"/>
          <w:szCs w:val="24"/>
          <w:highlight w:val="none"/>
        </w:rPr>
      </w:pPr>
      <w:r>
        <w:rPr>
          <w:rFonts w:hint="eastAsia"/>
          <w:sz w:val="32"/>
          <w:szCs w:val="24"/>
          <w:highlight w:val="none"/>
        </w:rPr>
        <w:t>（一）响应文件未按要求密封、签署、盖章的；</w:t>
      </w:r>
    </w:p>
    <w:p w14:paraId="6D0F482D">
      <w:pPr>
        <w:ind w:firstLine="560"/>
        <w:rPr>
          <w:sz w:val="32"/>
          <w:szCs w:val="24"/>
          <w:highlight w:val="none"/>
        </w:rPr>
      </w:pPr>
      <w:r>
        <w:rPr>
          <w:rFonts w:hint="eastAsia"/>
          <w:sz w:val="32"/>
          <w:szCs w:val="24"/>
          <w:highlight w:val="none"/>
        </w:rPr>
        <w:t>（二）项目总报价超过本项目最高限价的；</w:t>
      </w:r>
    </w:p>
    <w:p w14:paraId="57B2321A">
      <w:pPr>
        <w:ind w:firstLine="560"/>
        <w:rPr>
          <w:sz w:val="32"/>
          <w:szCs w:val="24"/>
          <w:highlight w:val="none"/>
        </w:rPr>
      </w:pPr>
      <w:r>
        <w:rPr>
          <w:rFonts w:hint="eastAsia"/>
          <w:sz w:val="32"/>
          <w:szCs w:val="24"/>
          <w:highlight w:val="none"/>
        </w:rPr>
        <w:t xml:space="preserve">（三）不具备采购文件中规定的资格要求或未按采购文件规定的要求提供资格、资信证明文件的； </w:t>
      </w:r>
    </w:p>
    <w:p w14:paraId="03139548">
      <w:pPr>
        <w:ind w:firstLine="560"/>
        <w:rPr>
          <w:sz w:val="32"/>
          <w:szCs w:val="24"/>
          <w:highlight w:val="none"/>
        </w:rPr>
      </w:pPr>
      <w:r>
        <w:rPr>
          <w:rFonts w:hint="eastAsia"/>
          <w:sz w:val="32"/>
          <w:szCs w:val="24"/>
          <w:highlight w:val="none"/>
        </w:rPr>
        <w:t>（四）提供虚假材料</w:t>
      </w:r>
      <w:r>
        <w:rPr>
          <w:rFonts w:hint="eastAsia"/>
          <w:color w:val="auto"/>
          <w:sz w:val="32"/>
          <w:szCs w:val="24"/>
          <w:highlight w:val="none"/>
        </w:rPr>
        <w:t>或过期材</w:t>
      </w:r>
      <w:r>
        <w:rPr>
          <w:rFonts w:hint="eastAsia"/>
          <w:sz w:val="32"/>
          <w:szCs w:val="24"/>
          <w:highlight w:val="none"/>
        </w:rPr>
        <w:t>料的；</w:t>
      </w:r>
    </w:p>
    <w:p w14:paraId="2F23678D">
      <w:pPr>
        <w:ind w:firstLine="560"/>
        <w:rPr>
          <w:sz w:val="32"/>
          <w:szCs w:val="24"/>
          <w:highlight w:val="none"/>
        </w:rPr>
      </w:pPr>
      <w:r>
        <w:rPr>
          <w:rFonts w:hint="eastAsia"/>
          <w:sz w:val="32"/>
          <w:szCs w:val="24"/>
          <w:highlight w:val="none"/>
        </w:rPr>
        <w:t>（五）不符合法律法规和竞争性谈判文件中规定的其他实质性要求和条件的；</w:t>
      </w:r>
    </w:p>
    <w:p w14:paraId="3E80D151">
      <w:pPr>
        <w:ind w:firstLine="560"/>
        <w:rPr>
          <w:sz w:val="32"/>
          <w:szCs w:val="24"/>
          <w:highlight w:val="none"/>
        </w:rPr>
      </w:pPr>
      <w:r>
        <w:rPr>
          <w:rFonts w:hint="eastAsia"/>
          <w:sz w:val="32"/>
          <w:szCs w:val="24"/>
          <w:highlight w:val="none"/>
        </w:rPr>
        <w:t>（六）响应单位报价清单存在漏项或者不按照采购文件报价清单提供的数量填写，响应文件中存在有选择的报价；</w:t>
      </w:r>
    </w:p>
    <w:p w14:paraId="15C58F63">
      <w:pPr>
        <w:ind w:firstLine="560"/>
        <w:rPr>
          <w:sz w:val="32"/>
          <w:szCs w:val="24"/>
          <w:highlight w:val="none"/>
        </w:rPr>
      </w:pPr>
      <w:r>
        <w:rPr>
          <w:rFonts w:hint="eastAsia"/>
          <w:sz w:val="32"/>
          <w:szCs w:val="24"/>
          <w:highlight w:val="none"/>
        </w:rPr>
        <w:t>（七）价格过低</w:t>
      </w:r>
      <w:r>
        <w:rPr>
          <w:rFonts w:hint="eastAsia"/>
          <w:sz w:val="32"/>
          <w:szCs w:val="24"/>
          <w:highlight w:val="none"/>
          <w:lang w:eastAsia="zh-CN"/>
        </w:rPr>
        <w:t>（</w:t>
      </w:r>
      <w:r>
        <w:rPr>
          <w:rFonts w:hint="eastAsia"/>
          <w:sz w:val="32"/>
          <w:szCs w:val="24"/>
          <w:highlight w:val="none"/>
          <w:lang w:val="en-US" w:eastAsia="zh-CN"/>
        </w:rPr>
        <w:t>对深圳出版社和华文国际传媒有限公司分开报价，凡有一项低于最高限价50%的</w:t>
      </w:r>
      <w:r>
        <w:rPr>
          <w:rFonts w:hint="eastAsia"/>
          <w:sz w:val="32"/>
          <w:szCs w:val="24"/>
          <w:highlight w:val="none"/>
          <w:lang w:eastAsia="zh-CN"/>
        </w:rPr>
        <w:t>）</w:t>
      </w:r>
      <w:r>
        <w:rPr>
          <w:rFonts w:hint="eastAsia"/>
          <w:sz w:val="32"/>
          <w:szCs w:val="24"/>
          <w:highlight w:val="none"/>
        </w:rPr>
        <w:t>；</w:t>
      </w:r>
    </w:p>
    <w:p w14:paraId="3CEF6D96">
      <w:pPr>
        <w:spacing w:after="381" w:afterLines="100"/>
        <w:ind w:firstLine="560"/>
        <w:rPr>
          <w:rFonts w:hint="eastAsia"/>
          <w:sz w:val="32"/>
          <w:szCs w:val="24"/>
          <w:highlight w:val="none"/>
        </w:rPr>
      </w:pPr>
      <w:r>
        <w:rPr>
          <w:rFonts w:hint="eastAsia"/>
          <w:sz w:val="32"/>
          <w:szCs w:val="24"/>
          <w:highlight w:val="none"/>
        </w:rPr>
        <w:t>（八）增加不能接受的附加条件。</w:t>
      </w:r>
    </w:p>
    <w:p w14:paraId="4257C3F2">
      <w:pPr>
        <w:spacing w:line="520" w:lineRule="exact"/>
        <w:ind w:left="0" w:leftChars="0" w:firstLine="0" w:firstLineChars="0"/>
        <w:rPr>
          <w:rFonts w:hint="eastAsia" w:ascii="仿宋_GB2312" w:hAnsi="黑体" w:eastAsia="仿宋_GB2312"/>
          <w:color w:val="000000"/>
          <w:sz w:val="32"/>
          <w:szCs w:val="32"/>
          <w:highlight w:val="none"/>
        </w:rPr>
      </w:pPr>
      <w:r>
        <w:rPr>
          <w:rFonts w:hint="eastAsia" w:ascii="黑体" w:hAnsi="黑体" w:eastAsia="黑体"/>
          <w:color w:val="000000"/>
          <w:sz w:val="32"/>
          <w:szCs w:val="32"/>
          <w:highlight w:val="none"/>
        </w:rPr>
        <w:t>响应不足的情况：</w:t>
      </w:r>
      <w:r>
        <w:rPr>
          <w:rFonts w:hint="eastAsia" w:ascii="仿宋_GB2312" w:hAnsi="黑体" w:eastAsia="仿宋_GB2312"/>
          <w:color w:val="000000"/>
          <w:sz w:val="32"/>
          <w:szCs w:val="32"/>
          <w:highlight w:val="none"/>
        </w:rPr>
        <w:t>没有</w:t>
      </w:r>
      <w:r>
        <w:rPr>
          <w:rFonts w:hint="eastAsia" w:ascii="仿宋_GB2312" w:hAnsi="黑体"/>
          <w:color w:val="000000"/>
          <w:sz w:val="32"/>
          <w:szCs w:val="32"/>
          <w:highlight w:val="none"/>
          <w:lang w:val="en-US" w:eastAsia="zh-CN"/>
        </w:rPr>
        <w:t>符合条件的</w:t>
      </w:r>
      <w:r>
        <w:rPr>
          <w:rFonts w:hint="eastAsia" w:ascii="仿宋_GB2312" w:hAnsi="黑体" w:eastAsia="仿宋_GB2312"/>
          <w:color w:val="000000"/>
          <w:sz w:val="32"/>
          <w:szCs w:val="32"/>
          <w:highlight w:val="none"/>
        </w:rPr>
        <w:t>供应商或者合格供应商仅有一家的，将转为单一来源方式进行采购。</w:t>
      </w:r>
    </w:p>
    <w:p w14:paraId="626662E0">
      <w:pPr>
        <w:spacing w:after="381" w:afterLines="100"/>
        <w:ind w:firstLine="560"/>
        <w:rPr>
          <w:rFonts w:hint="default"/>
          <w:sz w:val="32"/>
          <w:szCs w:val="24"/>
          <w:highlight w:val="none"/>
          <w:lang w:val="en-US" w:eastAsia="zh-CN"/>
        </w:rPr>
      </w:pPr>
    </w:p>
    <w:p w14:paraId="5E06B885">
      <w:pPr>
        <w:spacing w:line="500" w:lineRule="exact"/>
        <w:ind w:left="0" w:leftChars="0" w:firstLine="0" w:firstLineChars="0"/>
        <w:rPr>
          <w:rFonts w:hint="eastAsia" w:ascii="仿宋_GB2312" w:hAnsi="黑体"/>
          <w:color w:val="000000" w:themeColor="text1"/>
          <w:szCs w:val="28"/>
          <w:highlight w:val="none"/>
          <w14:textFill>
            <w14:solidFill>
              <w14:schemeClr w14:val="tx1"/>
            </w14:solidFill>
          </w14:textFill>
        </w:rPr>
      </w:pPr>
    </w:p>
    <w:p w14:paraId="46F401AF">
      <w:pPr>
        <w:spacing w:line="500" w:lineRule="exact"/>
        <w:ind w:left="0" w:leftChars="0" w:firstLine="0" w:firstLineChars="0"/>
        <w:rPr>
          <w:rFonts w:hint="eastAsia" w:ascii="仿宋_GB2312" w:hAnsi="黑体"/>
          <w:color w:val="000000" w:themeColor="text1"/>
          <w:szCs w:val="28"/>
          <w:highlight w:val="none"/>
          <w14:textFill>
            <w14:solidFill>
              <w14:schemeClr w14:val="tx1"/>
            </w14:solidFill>
          </w14:textFill>
        </w:rPr>
      </w:pPr>
    </w:p>
    <w:p w14:paraId="5F917807">
      <w:pPr>
        <w:spacing w:line="500" w:lineRule="exact"/>
        <w:ind w:left="0" w:leftChars="0" w:firstLine="0" w:firstLineChars="0"/>
        <w:rPr>
          <w:rFonts w:hint="eastAsia" w:ascii="仿宋_GB2312" w:hAnsi="黑体"/>
          <w:color w:val="000000" w:themeColor="text1"/>
          <w:szCs w:val="28"/>
          <w:highlight w:val="none"/>
          <w14:textFill>
            <w14:solidFill>
              <w14:schemeClr w14:val="tx1"/>
            </w14:solidFill>
          </w14:textFill>
        </w:rPr>
      </w:pPr>
    </w:p>
    <w:p w14:paraId="44407F2C">
      <w:pPr>
        <w:pStyle w:val="2"/>
        <w:spacing w:before="600"/>
        <w:ind w:left="0" w:leftChars="0" w:firstLine="2200" w:firstLineChars="500"/>
        <w:jc w:val="both"/>
        <w:rPr>
          <w:color w:val="auto"/>
          <w:highlight w:val="none"/>
        </w:rPr>
      </w:pPr>
      <w:bookmarkStart w:id="6" w:name="_Toc204764242"/>
      <w:r>
        <w:rPr>
          <w:rFonts w:hint="eastAsia"/>
          <w:color w:val="auto"/>
          <w:highlight w:val="none"/>
        </w:rPr>
        <w:t>第</w:t>
      </w:r>
      <w:r>
        <w:rPr>
          <w:rFonts w:hint="eastAsia"/>
          <w:color w:val="auto"/>
          <w:highlight w:val="none"/>
          <w:lang w:val="en-US" w:eastAsia="zh-CN"/>
        </w:rPr>
        <w:t>四</w:t>
      </w:r>
      <w:r>
        <w:rPr>
          <w:rFonts w:hint="eastAsia"/>
          <w:color w:val="auto"/>
          <w:highlight w:val="none"/>
        </w:rPr>
        <w:t xml:space="preserve">章 </w:t>
      </w:r>
      <w:r>
        <w:rPr>
          <w:rFonts w:hint="eastAsia"/>
          <w:color w:val="auto"/>
          <w:highlight w:val="none"/>
          <w:lang w:val="en-US" w:eastAsia="zh-CN"/>
        </w:rPr>
        <w:t>评审</w:t>
      </w:r>
      <w:r>
        <w:rPr>
          <w:rFonts w:hint="eastAsia"/>
          <w:color w:val="auto"/>
          <w:highlight w:val="none"/>
        </w:rPr>
        <w:t>标准</w:t>
      </w:r>
      <w:bookmarkEnd w:id="6"/>
    </w:p>
    <w:p w14:paraId="3E23E261">
      <w:pPr>
        <w:spacing w:line="540" w:lineRule="exact"/>
        <w:ind w:firstLine="640"/>
        <w:jc w:val="both"/>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（一）</w:t>
      </w:r>
      <w:r>
        <w:rPr>
          <w:rFonts w:hint="eastAsia" w:ascii="仿宋" w:hAnsi="仿宋" w:eastAsia="仿宋" w:cs="仿宋"/>
          <w:color w:val="000000"/>
          <w:sz w:val="32"/>
          <w:szCs w:val="32"/>
          <w:highlight w:val="none"/>
        </w:rPr>
        <w:t>谈判小组</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lang w:val="en-US" w:eastAsia="zh-CN"/>
        </w:rPr>
        <w:t>评审小组</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的组建</w:t>
      </w:r>
      <w:r>
        <w:rPr>
          <w:rFonts w:hint="eastAsia" w:ascii="仿宋" w:hAnsi="仿宋" w:eastAsia="仿宋" w:cs="仿宋"/>
          <w:color w:val="000000"/>
          <w:sz w:val="32"/>
          <w:szCs w:val="32"/>
          <w:highlight w:val="none"/>
          <w:lang w:val="en-US" w:eastAsia="zh-CN"/>
        </w:rPr>
        <w:t>及谈判评审程序</w:t>
      </w:r>
    </w:p>
    <w:p w14:paraId="1C79430E">
      <w:pPr>
        <w:spacing w:line="540" w:lineRule="exact"/>
        <w:ind w:firstLine="640"/>
        <w:jc w:val="both"/>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1.</w:t>
      </w:r>
      <w:r>
        <w:rPr>
          <w:rFonts w:hint="eastAsia" w:ascii="仿宋" w:hAnsi="仿宋" w:eastAsia="仿宋" w:cs="仿宋"/>
          <w:color w:val="000000"/>
          <w:sz w:val="32"/>
          <w:szCs w:val="32"/>
          <w:highlight w:val="none"/>
        </w:rPr>
        <w:t xml:space="preserve">小组成员人数：3人 </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lang w:val="en-US" w:eastAsia="zh-CN"/>
        </w:rPr>
        <w:t>不含监督人员</w:t>
      </w:r>
      <w:r>
        <w:rPr>
          <w:rFonts w:hint="eastAsia" w:ascii="仿宋" w:hAnsi="仿宋" w:eastAsia="仿宋" w:cs="仿宋"/>
          <w:color w:val="000000"/>
          <w:sz w:val="32"/>
          <w:szCs w:val="32"/>
          <w:highlight w:val="none"/>
          <w:lang w:eastAsia="zh-CN"/>
        </w:rPr>
        <w:t>）</w:t>
      </w:r>
    </w:p>
    <w:p w14:paraId="67A0EAF6">
      <w:pPr>
        <w:spacing w:line="540" w:lineRule="exact"/>
        <w:ind w:firstLine="640"/>
        <w:jc w:val="both"/>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2.</w:t>
      </w:r>
      <w:r>
        <w:rPr>
          <w:rFonts w:hint="eastAsia" w:ascii="仿宋" w:hAnsi="仿宋" w:eastAsia="仿宋" w:cs="仿宋"/>
          <w:color w:val="000000"/>
          <w:sz w:val="32"/>
          <w:szCs w:val="32"/>
          <w:highlight w:val="none"/>
        </w:rPr>
        <w:t>人员的选择方法：</w:t>
      </w:r>
      <w:bookmarkStart w:id="7" w:name="_Hlk160704543"/>
      <w:r>
        <w:rPr>
          <w:rFonts w:hint="eastAsia" w:ascii="仿宋" w:hAnsi="仿宋" w:eastAsia="仿宋" w:cs="仿宋"/>
          <w:color w:val="000000"/>
          <w:sz w:val="32"/>
          <w:szCs w:val="32"/>
          <w:highlight w:val="none"/>
        </w:rPr>
        <w:t>从</w:t>
      </w:r>
      <w:r>
        <w:rPr>
          <w:rFonts w:hint="eastAsia" w:ascii="仿宋" w:hAnsi="仿宋" w:eastAsia="仿宋" w:cs="仿宋"/>
          <w:color w:val="000000"/>
          <w:sz w:val="32"/>
          <w:szCs w:val="32"/>
          <w:highlight w:val="none"/>
          <w:lang w:val="en-US" w:eastAsia="zh-CN"/>
        </w:rPr>
        <w:t>社领导、社中层和普通员工中各选一名</w:t>
      </w:r>
      <w:r>
        <w:rPr>
          <w:rFonts w:hint="eastAsia" w:ascii="仿宋" w:hAnsi="仿宋" w:eastAsia="仿宋" w:cs="仿宋"/>
          <w:color w:val="000000"/>
          <w:sz w:val="32"/>
          <w:szCs w:val="32"/>
          <w:highlight w:val="none"/>
        </w:rPr>
        <w:t>熟悉项目评审因素并具备谈判能力的</w:t>
      </w:r>
      <w:r>
        <w:rPr>
          <w:rFonts w:hint="eastAsia" w:ascii="仿宋" w:hAnsi="仿宋" w:eastAsia="仿宋" w:cs="仿宋"/>
          <w:color w:val="000000"/>
          <w:sz w:val="32"/>
          <w:szCs w:val="32"/>
          <w:highlight w:val="none"/>
          <w:lang w:val="en-US" w:eastAsia="zh-CN"/>
        </w:rPr>
        <w:t>共</w:t>
      </w:r>
      <w:r>
        <w:rPr>
          <w:rFonts w:hint="eastAsia" w:ascii="仿宋" w:hAnsi="仿宋" w:eastAsia="仿宋" w:cs="仿宋"/>
          <w:color w:val="000000"/>
          <w:sz w:val="32"/>
          <w:szCs w:val="32"/>
          <w:highlight w:val="none"/>
        </w:rPr>
        <w:t>3名人员，共同组成谈判</w:t>
      </w:r>
      <w:r>
        <w:rPr>
          <w:rFonts w:hint="eastAsia" w:ascii="仿宋" w:hAnsi="仿宋" w:eastAsia="仿宋" w:cs="仿宋"/>
          <w:color w:val="000000"/>
          <w:sz w:val="32"/>
          <w:szCs w:val="32"/>
          <w:highlight w:val="none"/>
          <w:lang w:val="en-US" w:eastAsia="zh-CN"/>
        </w:rPr>
        <w:t>和评审</w:t>
      </w:r>
      <w:r>
        <w:rPr>
          <w:rFonts w:hint="eastAsia" w:ascii="仿宋" w:hAnsi="仿宋" w:eastAsia="仿宋" w:cs="仿宋"/>
          <w:color w:val="000000"/>
          <w:sz w:val="32"/>
          <w:szCs w:val="32"/>
          <w:highlight w:val="none"/>
        </w:rPr>
        <w:t>小组。</w:t>
      </w:r>
      <w:bookmarkEnd w:id="7"/>
    </w:p>
    <w:p w14:paraId="20985333">
      <w:pPr>
        <w:spacing w:line="540" w:lineRule="exact"/>
        <w:ind w:firstLine="640"/>
        <w:jc w:val="both"/>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val="en-US" w:eastAsia="zh-CN"/>
        </w:rPr>
        <w:t>3.</w:t>
      </w:r>
      <w:r>
        <w:rPr>
          <w:rFonts w:hint="eastAsia" w:ascii="仿宋" w:hAnsi="仿宋" w:eastAsia="仿宋" w:cs="仿宋"/>
          <w:color w:val="000000"/>
          <w:sz w:val="32"/>
          <w:szCs w:val="32"/>
          <w:highlight w:val="none"/>
        </w:rPr>
        <w:t>有下列情形之一的，不得担任谈判</w:t>
      </w:r>
      <w:r>
        <w:rPr>
          <w:rFonts w:hint="eastAsia" w:ascii="仿宋" w:hAnsi="仿宋" w:eastAsia="仿宋" w:cs="仿宋"/>
          <w:color w:val="000000"/>
          <w:sz w:val="32"/>
          <w:szCs w:val="32"/>
          <w:highlight w:val="none"/>
          <w:lang w:val="en-US" w:eastAsia="zh-CN"/>
        </w:rPr>
        <w:t>评审</w:t>
      </w:r>
      <w:r>
        <w:rPr>
          <w:rFonts w:hint="eastAsia" w:ascii="仿宋" w:hAnsi="仿宋" w:eastAsia="仿宋" w:cs="仿宋"/>
          <w:color w:val="000000"/>
          <w:sz w:val="32"/>
          <w:szCs w:val="32"/>
          <w:highlight w:val="none"/>
        </w:rPr>
        <w:t xml:space="preserve">人员。已进入人员名单的，应当主动提出回避或由采购人更换： </w:t>
      </w:r>
    </w:p>
    <w:p w14:paraId="73243B38">
      <w:pPr>
        <w:spacing w:line="540" w:lineRule="exact"/>
        <w:ind w:firstLine="640"/>
        <w:jc w:val="both"/>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lang w:val="en-US" w:eastAsia="zh-CN"/>
        </w:rPr>
        <w:t>1）</w:t>
      </w:r>
      <w:r>
        <w:rPr>
          <w:rFonts w:hint="eastAsia" w:ascii="仿宋" w:hAnsi="仿宋" w:eastAsia="仿宋" w:cs="仿宋"/>
          <w:color w:val="000000"/>
          <w:sz w:val="32"/>
          <w:szCs w:val="32"/>
          <w:highlight w:val="none"/>
        </w:rPr>
        <w:t xml:space="preserve">参与谈判前采购商务联络工作的人员； </w:t>
      </w:r>
    </w:p>
    <w:p w14:paraId="483C9093">
      <w:pPr>
        <w:spacing w:line="540" w:lineRule="exact"/>
        <w:ind w:firstLine="640"/>
        <w:jc w:val="both"/>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lang w:val="en-US" w:eastAsia="zh-CN"/>
        </w:rPr>
        <w:t>2）</w:t>
      </w:r>
      <w:r>
        <w:rPr>
          <w:rFonts w:hint="eastAsia" w:ascii="仿宋" w:hAnsi="仿宋" w:eastAsia="仿宋" w:cs="仿宋"/>
          <w:color w:val="000000"/>
          <w:sz w:val="32"/>
          <w:szCs w:val="32"/>
          <w:highlight w:val="none"/>
        </w:rPr>
        <w:t>供应商的负责人的近亲属；</w:t>
      </w:r>
    </w:p>
    <w:p w14:paraId="035AF9CF">
      <w:pPr>
        <w:spacing w:line="540" w:lineRule="exact"/>
        <w:ind w:firstLine="640"/>
        <w:jc w:val="both"/>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lang w:val="en-US" w:eastAsia="zh-CN"/>
        </w:rPr>
        <w:t>3）</w:t>
      </w:r>
      <w:r>
        <w:rPr>
          <w:rFonts w:hint="eastAsia" w:ascii="仿宋" w:hAnsi="仿宋" w:eastAsia="仿宋" w:cs="仿宋"/>
          <w:color w:val="000000"/>
          <w:sz w:val="32"/>
          <w:szCs w:val="32"/>
          <w:highlight w:val="none"/>
        </w:rPr>
        <w:t>与供应商有经济利益关系，有可能影响公正评审的；</w:t>
      </w:r>
    </w:p>
    <w:p w14:paraId="35C3913A">
      <w:pPr>
        <w:spacing w:line="540" w:lineRule="exact"/>
        <w:ind w:firstLine="640"/>
        <w:jc w:val="both"/>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lang w:val="en-US" w:eastAsia="zh-CN"/>
        </w:rPr>
        <w:t>4）</w:t>
      </w:r>
      <w:r>
        <w:rPr>
          <w:rFonts w:hint="eastAsia" w:ascii="仿宋" w:hAnsi="仿宋" w:eastAsia="仿宋" w:cs="仿宋"/>
          <w:color w:val="000000"/>
          <w:sz w:val="32"/>
          <w:szCs w:val="32"/>
          <w:highlight w:val="none"/>
        </w:rPr>
        <w:t xml:space="preserve">曾因采购相关活动受过纪律处分仍在影响期的； </w:t>
      </w:r>
    </w:p>
    <w:p w14:paraId="6A8089AE">
      <w:pPr>
        <w:spacing w:line="540" w:lineRule="exact"/>
        <w:ind w:firstLine="640"/>
        <w:jc w:val="both"/>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lang w:val="en-US" w:eastAsia="zh-CN"/>
        </w:rPr>
        <w:t>5）</w:t>
      </w:r>
      <w:r>
        <w:rPr>
          <w:rFonts w:hint="eastAsia" w:ascii="仿宋" w:hAnsi="仿宋" w:eastAsia="仿宋" w:cs="仿宋"/>
          <w:color w:val="000000"/>
          <w:sz w:val="32"/>
          <w:szCs w:val="32"/>
          <w:highlight w:val="none"/>
        </w:rPr>
        <w:t>曾在招标、评标、定标及其他采购相关活动中受过行政处罚或刑事处罚等</w:t>
      </w:r>
      <w:r>
        <w:rPr>
          <w:rFonts w:hint="eastAsia" w:ascii="仿宋" w:hAnsi="仿宋" w:eastAsia="仿宋" w:cs="仿宋"/>
          <w:color w:val="000000"/>
          <w:sz w:val="32"/>
          <w:szCs w:val="32"/>
          <w:highlight w:val="none"/>
          <w:lang w:eastAsia="zh-CN"/>
        </w:rPr>
        <w:t>有不良</w:t>
      </w:r>
      <w:r>
        <w:rPr>
          <w:rFonts w:hint="eastAsia" w:ascii="仿宋" w:hAnsi="仿宋" w:eastAsia="仿宋" w:cs="仿宋"/>
          <w:color w:val="000000"/>
          <w:sz w:val="32"/>
          <w:szCs w:val="32"/>
          <w:highlight w:val="none"/>
        </w:rPr>
        <w:t xml:space="preserve">记录的； </w:t>
      </w:r>
    </w:p>
    <w:p w14:paraId="1680C709">
      <w:pPr>
        <w:spacing w:line="540" w:lineRule="exact"/>
        <w:ind w:firstLine="640"/>
        <w:jc w:val="both"/>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lang w:val="en-US" w:eastAsia="zh-CN"/>
        </w:rPr>
        <w:t>6）</w:t>
      </w:r>
      <w:r>
        <w:rPr>
          <w:rFonts w:hint="eastAsia" w:ascii="仿宋" w:hAnsi="仿宋" w:eastAsia="仿宋" w:cs="仿宋"/>
          <w:color w:val="000000"/>
          <w:sz w:val="32"/>
          <w:szCs w:val="32"/>
          <w:highlight w:val="none"/>
        </w:rPr>
        <w:t>其他不适宜担任谈判</w:t>
      </w:r>
      <w:r>
        <w:rPr>
          <w:rFonts w:hint="eastAsia" w:ascii="仿宋" w:hAnsi="仿宋" w:eastAsia="仿宋" w:cs="仿宋"/>
          <w:color w:val="000000"/>
          <w:sz w:val="32"/>
          <w:szCs w:val="32"/>
          <w:highlight w:val="none"/>
          <w:lang w:val="en-US" w:eastAsia="zh-CN"/>
        </w:rPr>
        <w:t>评审</w:t>
      </w:r>
      <w:r>
        <w:rPr>
          <w:rFonts w:hint="eastAsia" w:ascii="仿宋" w:hAnsi="仿宋" w:eastAsia="仿宋" w:cs="仿宋"/>
          <w:color w:val="000000"/>
          <w:sz w:val="32"/>
          <w:szCs w:val="32"/>
          <w:highlight w:val="none"/>
        </w:rPr>
        <w:t xml:space="preserve">人员的。 </w:t>
      </w:r>
    </w:p>
    <w:p w14:paraId="50885828">
      <w:pPr>
        <w:spacing w:line="540" w:lineRule="exact"/>
        <w:ind w:firstLine="640"/>
        <w:jc w:val="both"/>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4.谈判评审程序</w:t>
      </w:r>
    </w:p>
    <w:p w14:paraId="611314B3">
      <w:pPr>
        <w:spacing w:line="540" w:lineRule="exact"/>
        <w:ind w:firstLine="640"/>
        <w:jc w:val="both"/>
        <w:rPr>
          <w:rFonts w:hint="eastAsia" w:ascii="仿宋" w:hAnsi="仿宋" w:eastAsia="仿宋" w:cs="仿宋"/>
          <w:color w:val="000000"/>
          <w:sz w:val="32"/>
          <w:szCs w:val="32"/>
          <w:highlight w:val="none"/>
          <w:lang w:eastAsia="zh-CN"/>
        </w:rPr>
      </w:pPr>
      <w:r>
        <w:rPr>
          <w:rFonts w:hint="eastAsia" w:ascii="仿宋" w:hAnsi="仿宋" w:eastAsia="仿宋" w:cs="仿宋"/>
          <w:color w:val="000000"/>
          <w:sz w:val="32"/>
          <w:szCs w:val="32"/>
          <w:highlight w:val="none"/>
          <w:lang w:val="en-US" w:eastAsia="zh-CN"/>
        </w:rPr>
        <w:t>（1）谈判</w:t>
      </w:r>
      <w:r>
        <w:rPr>
          <w:rFonts w:hint="eastAsia" w:ascii="仿宋" w:hAnsi="仿宋" w:eastAsia="仿宋" w:cs="仿宋"/>
          <w:color w:val="000000"/>
          <w:sz w:val="32"/>
          <w:szCs w:val="32"/>
          <w:highlight w:val="none"/>
          <w:lang w:eastAsia="zh-CN"/>
        </w:rPr>
        <w:t>评审小组成员共同推选或由采购人指定小组组长，小组组长负责组织</w:t>
      </w:r>
      <w:r>
        <w:rPr>
          <w:rFonts w:hint="eastAsia" w:ascii="仿宋" w:hAnsi="仿宋" w:eastAsia="仿宋" w:cs="仿宋"/>
          <w:color w:val="000000"/>
          <w:sz w:val="32"/>
          <w:szCs w:val="32"/>
          <w:highlight w:val="none"/>
          <w:lang w:val="en-US" w:eastAsia="zh-CN"/>
        </w:rPr>
        <w:t>谈判</w:t>
      </w:r>
      <w:r>
        <w:rPr>
          <w:rFonts w:hint="eastAsia" w:ascii="仿宋" w:hAnsi="仿宋" w:eastAsia="仿宋" w:cs="仿宋"/>
          <w:color w:val="000000"/>
          <w:sz w:val="32"/>
          <w:szCs w:val="32"/>
          <w:highlight w:val="none"/>
          <w:lang w:eastAsia="zh-CN"/>
        </w:rPr>
        <w:t>评审工作；</w:t>
      </w:r>
    </w:p>
    <w:p w14:paraId="014DE0C7">
      <w:pPr>
        <w:spacing w:line="540" w:lineRule="exact"/>
        <w:ind w:firstLine="640"/>
        <w:jc w:val="both"/>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（2）</w:t>
      </w:r>
      <w:r>
        <w:rPr>
          <w:rFonts w:hint="eastAsia" w:ascii="仿宋" w:hAnsi="仿宋" w:eastAsia="仿宋" w:cs="仿宋"/>
          <w:color w:val="000000"/>
          <w:sz w:val="32"/>
          <w:szCs w:val="32"/>
          <w:highlight w:val="none"/>
          <w:lang w:eastAsia="zh-CN"/>
        </w:rPr>
        <w:t>采购人监督人员宣读</w:t>
      </w:r>
      <w:r>
        <w:rPr>
          <w:rFonts w:hint="eastAsia" w:ascii="仿宋" w:hAnsi="仿宋" w:eastAsia="仿宋" w:cs="仿宋"/>
          <w:color w:val="000000"/>
          <w:sz w:val="32"/>
          <w:szCs w:val="32"/>
          <w:highlight w:val="none"/>
          <w:lang w:val="en-US" w:eastAsia="zh-CN"/>
        </w:rPr>
        <w:t>谈判</w:t>
      </w:r>
      <w:r>
        <w:rPr>
          <w:rFonts w:hint="eastAsia" w:ascii="仿宋" w:hAnsi="仿宋" w:eastAsia="仿宋" w:cs="仿宋"/>
          <w:color w:val="000000"/>
          <w:sz w:val="32"/>
          <w:szCs w:val="32"/>
          <w:highlight w:val="none"/>
          <w:lang w:eastAsia="zh-CN"/>
        </w:rPr>
        <w:t>评审纪律</w:t>
      </w:r>
      <w:r>
        <w:rPr>
          <w:rFonts w:hint="eastAsia" w:ascii="仿宋" w:hAnsi="仿宋" w:eastAsia="仿宋" w:cs="仿宋"/>
          <w:color w:val="000000"/>
          <w:sz w:val="32"/>
          <w:szCs w:val="32"/>
          <w:highlight w:val="none"/>
          <w:lang w:val="en-US" w:eastAsia="zh-CN"/>
        </w:rPr>
        <w:t>和程序</w:t>
      </w:r>
      <w:r>
        <w:rPr>
          <w:rFonts w:hint="eastAsia" w:ascii="仿宋" w:hAnsi="仿宋" w:eastAsia="仿宋" w:cs="仿宋"/>
          <w:color w:val="000000"/>
          <w:sz w:val="32"/>
          <w:szCs w:val="32"/>
          <w:highlight w:val="none"/>
          <w:lang w:eastAsia="zh-CN"/>
        </w:rPr>
        <w:t>；</w:t>
      </w:r>
    </w:p>
    <w:p w14:paraId="3DB7A7B8">
      <w:pPr>
        <w:spacing w:line="540" w:lineRule="exact"/>
        <w:ind w:firstLine="640"/>
        <w:jc w:val="both"/>
        <w:rPr>
          <w:rFonts w:hint="eastAsia" w:ascii="仿宋" w:hAnsi="仿宋" w:eastAsia="仿宋" w:cs="仿宋"/>
          <w:color w:val="000000"/>
          <w:sz w:val="32"/>
          <w:szCs w:val="32"/>
          <w:highlight w:val="none"/>
          <w:lang w:eastAsia="zh-CN"/>
        </w:rPr>
      </w:pPr>
      <w:r>
        <w:rPr>
          <w:rFonts w:hint="eastAsia" w:ascii="仿宋" w:hAnsi="仿宋" w:eastAsia="仿宋" w:cs="仿宋"/>
          <w:color w:val="000000"/>
          <w:sz w:val="32"/>
          <w:szCs w:val="32"/>
          <w:highlight w:val="none"/>
          <w:lang w:val="en-US" w:eastAsia="zh-CN"/>
        </w:rPr>
        <w:t>（3）</w:t>
      </w:r>
      <w:r>
        <w:rPr>
          <w:rFonts w:hint="eastAsia" w:ascii="仿宋" w:hAnsi="仿宋" w:eastAsia="仿宋" w:cs="仿宋"/>
          <w:color w:val="000000"/>
          <w:sz w:val="32"/>
          <w:szCs w:val="32"/>
          <w:highlight w:val="none"/>
          <w:lang w:eastAsia="zh-CN"/>
        </w:rPr>
        <w:t>小组检查确认响应文件的密封情况；</w:t>
      </w:r>
    </w:p>
    <w:p w14:paraId="1D02ED77">
      <w:pPr>
        <w:spacing w:line="540" w:lineRule="exact"/>
        <w:ind w:firstLine="640"/>
        <w:jc w:val="both"/>
        <w:rPr>
          <w:rFonts w:hint="eastAsia" w:ascii="仿宋" w:hAnsi="仿宋" w:eastAsia="仿宋" w:cs="仿宋"/>
          <w:color w:val="000000"/>
          <w:sz w:val="32"/>
          <w:szCs w:val="32"/>
          <w:highlight w:val="none"/>
          <w:lang w:eastAsia="zh-CN"/>
        </w:rPr>
      </w:pPr>
      <w:r>
        <w:rPr>
          <w:rFonts w:hint="eastAsia" w:ascii="仿宋" w:hAnsi="仿宋" w:eastAsia="仿宋" w:cs="仿宋"/>
          <w:color w:val="000000"/>
          <w:sz w:val="32"/>
          <w:szCs w:val="32"/>
          <w:highlight w:val="none"/>
          <w:lang w:val="en-US" w:eastAsia="zh-CN"/>
        </w:rPr>
        <w:t>（4）</w:t>
      </w:r>
      <w:r>
        <w:rPr>
          <w:rFonts w:hint="eastAsia" w:ascii="仿宋" w:hAnsi="仿宋" w:eastAsia="仿宋" w:cs="仿宋"/>
          <w:color w:val="000000"/>
          <w:sz w:val="32"/>
          <w:szCs w:val="32"/>
          <w:highlight w:val="none"/>
          <w:lang w:eastAsia="zh-CN"/>
        </w:rPr>
        <w:t>工作人员按</w:t>
      </w:r>
      <w:r>
        <w:rPr>
          <w:rFonts w:hint="eastAsia" w:ascii="仿宋" w:hAnsi="仿宋" w:eastAsia="仿宋" w:cs="仿宋"/>
          <w:color w:val="000000"/>
          <w:sz w:val="32"/>
          <w:szCs w:val="32"/>
          <w:highlight w:val="none"/>
          <w:lang w:val="en-US" w:eastAsia="zh-CN"/>
        </w:rPr>
        <w:t>抽签</w:t>
      </w:r>
      <w:r>
        <w:rPr>
          <w:rFonts w:hint="eastAsia" w:ascii="仿宋" w:hAnsi="仿宋" w:eastAsia="仿宋" w:cs="仿宋"/>
          <w:color w:val="000000"/>
          <w:sz w:val="32"/>
          <w:szCs w:val="32"/>
          <w:highlight w:val="none"/>
          <w:lang w:eastAsia="zh-CN"/>
        </w:rPr>
        <w:t>顺序开启响应文件，当场宣读各供应商名称及响应报价；</w:t>
      </w:r>
    </w:p>
    <w:p w14:paraId="7B8880CB">
      <w:pPr>
        <w:spacing w:line="540" w:lineRule="exact"/>
        <w:ind w:firstLine="640"/>
        <w:jc w:val="both"/>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（5）资格评审</w:t>
      </w:r>
    </w:p>
    <w:p w14:paraId="4B1E5BE4">
      <w:pPr>
        <w:spacing w:line="540" w:lineRule="exact"/>
        <w:ind w:firstLine="640"/>
        <w:jc w:val="both"/>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（6）谈判</w:t>
      </w:r>
    </w:p>
    <w:p w14:paraId="5F5F4BD0">
      <w:pPr>
        <w:spacing w:line="540" w:lineRule="exact"/>
        <w:ind w:firstLine="640"/>
        <w:jc w:val="both"/>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（7）综合评审</w:t>
      </w:r>
    </w:p>
    <w:p w14:paraId="252F8959">
      <w:pPr>
        <w:spacing w:line="540" w:lineRule="exact"/>
        <w:ind w:firstLine="640"/>
        <w:jc w:val="both"/>
        <w:rPr>
          <w:rFonts w:hint="eastAsia" w:ascii="仿宋" w:hAnsi="仿宋" w:eastAsia="仿宋" w:cs="仿宋"/>
          <w:color w:val="000000"/>
          <w:sz w:val="32"/>
          <w:szCs w:val="32"/>
          <w:highlight w:val="none"/>
          <w:lang w:val="en-US" w:eastAsia="zh-CN"/>
        </w:rPr>
      </w:pPr>
      <w:r>
        <w:rPr>
          <w:rFonts w:hint="eastAsia" w:ascii="仿宋" w:hAnsi="仿宋" w:eastAsia="仿宋" w:cs="仿宋"/>
          <w:color w:val="000000"/>
          <w:sz w:val="32"/>
          <w:szCs w:val="32"/>
          <w:highlight w:val="none"/>
          <w:lang w:val="en-US" w:eastAsia="zh-CN"/>
        </w:rPr>
        <w:t>（8）出具谈判评审报告</w:t>
      </w:r>
    </w:p>
    <w:p w14:paraId="07D85646">
      <w:pPr>
        <w:spacing w:line="540" w:lineRule="exact"/>
        <w:ind w:firstLine="640"/>
        <w:jc w:val="both"/>
        <w:rPr>
          <w:rFonts w:hint="eastAsia" w:ascii="仿宋" w:hAnsi="仿宋" w:eastAsia="仿宋" w:cs="仿宋"/>
          <w:color w:val="000000"/>
          <w:sz w:val="32"/>
          <w:szCs w:val="32"/>
          <w:highlight w:val="none"/>
          <w:lang w:eastAsia="zh-CN"/>
        </w:rPr>
      </w:pPr>
      <w:r>
        <w:rPr>
          <w:rFonts w:hint="eastAsia" w:ascii="仿宋" w:hAnsi="仿宋" w:eastAsia="仿宋" w:cs="仿宋"/>
          <w:color w:val="000000"/>
          <w:sz w:val="32"/>
          <w:szCs w:val="32"/>
          <w:highlight w:val="none"/>
          <w:lang w:eastAsia="zh-CN"/>
        </w:rPr>
        <w:t>在</w:t>
      </w:r>
      <w:r>
        <w:rPr>
          <w:rFonts w:hint="eastAsia" w:ascii="仿宋" w:hAnsi="仿宋" w:eastAsia="仿宋" w:cs="仿宋"/>
          <w:color w:val="000000"/>
          <w:sz w:val="32"/>
          <w:szCs w:val="32"/>
          <w:highlight w:val="none"/>
          <w:lang w:val="en-US" w:eastAsia="zh-CN"/>
        </w:rPr>
        <w:t>谈判</w:t>
      </w:r>
      <w:r>
        <w:rPr>
          <w:rFonts w:hint="eastAsia" w:ascii="仿宋" w:hAnsi="仿宋" w:eastAsia="仿宋" w:cs="仿宋"/>
          <w:color w:val="000000"/>
          <w:sz w:val="32"/>
          <w:szCs w:val="32"/>
          <w:highlight w:val="none"/>
          <w:lang w:eastAsia="zh-CN"/>
        </w:rPr>
        <w:t>评审过程中，小组成员对需要共同认定的事项存在争议的，将按照少数服从多数的原则作出结论，持不同意见的小组成员应在</w:t>
      </w:r>
      <w:r>
        <w:rPr>
          <w:rFonts w:hint="eastAsia" w:ascii="仿宋" w:hAnsi="仿宋" w:eastAsia="仿宋" w:cs="仿宋"/>
          <w:color w:val="000000"/>
          <w:sz w:val="32"/>
          <w:szCs w:val="32"/>
          <w:highlight w:val="none"/>
          <w:lang w:val="en-US" w:eastAsia="zh-CN"/>
        </w:rPr>
        <w:t>谈判</w:t>
      </w:r>
      <w:r>
        <w:rPr>
          <w:rFonts w:hint="eastAsia" w:ascii="仿宋" w:hAnsi="仿宋" w:eastAsia="仿宋" w:cs="仿宋"/>
          <w:color w:val="000000"/>
          <w:sz w:val="32"/>
          <w:szCs w:val="32"/>
          <w:highlight w:val="none"/>
          <w:lang w:eastAsia="zh-CN"/>
        </w:rPr>
        <w:t>评审报告上签署不同意见及理由，否则视为同意报告。</w:t>
      </w:r>
    </w:p>
    <w:p w14:paraId="7D7023B1">
      <w:pPr>
        <w:ind w:firstLine="640"/>
        <w:jc w:val="both"/>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二</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资格评审</w:t>
      </w:r>
    </w:p>
    <w:p w14:paraId="278849F2">
      <w:pPr>
        <w:ind w:firstLine="640"/>
        <w:jc w:val="both"/>
        <w:rPr>
          <w:rStyle w:val="61"/>
          <w:rFonts w:hint="eastAsia" w:ascii="仿宋" w:hAnsi="仿宋" w:eastAsia="仿宋" w:cs="仿宋"/>
          <w:sz w:val="32"/>
          <w:szCs w:val="32"/>
          <w:highlight w:val="none"/>
        </w:rPr>
      </w:pPr>
      <w:r>
        <w:rPr>
          <w:rFonts w:hint="eastAsia" w:ascii="仿宋" w:hAnsi="仿宋" w:eastAsia="仿宋" w:cs="仿宋"/>
          <w:color w:val="000000"/>
          <w:sz w:val="32"/>
          <w:szCs w:val="32"/>
          <w:highlight w:val="none"/>
          <w:lang w:eastAsia="zh-CN"/>
        </w:rPr>
        <w:t>小组</w:t>
      </w:r>
      <w:r>
        <w:rPr>
          <w:rFonts w:hint="eastAsia" w:ascii="仿宋" w:hAnsi="仿宋" w:eastAsia="仿宋" w:cs="仿宋"/>
          <w:color w:val="000000"/>
          <w:sz w:val="32"/>
          <w:szCs w:val="32"/>
          <w:highlight w:val="none"/>
          <w:lang w:val="en-US" w:eastAsia="zh-CN"/>
        </w:rPr>
        <w:t>或采购人指定社内3名员工（含监督人员1名，采购经办有关人员需回避），</w:t>
      </w:r>
      <w:r>
        <w:rPr>
          <w:rFonts w:hint="eastAsia" w:ascii="仿宋" w:hAnsi="仿宋" w:eastAsia="仿宋" w:cs="仿宋"/>
          <w:color w:val="000000"/>
          <w:sz w:val="32"/>
          <w:szCs w:val="32"/>
          <w:highlight w:val="none"/>
          <w:lang w:eastAsia="zh-CN"/>
        </w:rPr>
        <w:t>于2026年</w:t>
      </w:r>
      <w:r>
        <w:rPr>
          <w:rFonts w:hint="eastAsia" w:ascii="仿宋" w:hAnsi="仿宋" w:eastAsia="仿宋" w:cs="仿宋"/>
          <w:color w:val="000000"/>
          <w:sz w:val="32"/>
          <w:szCs w:val="32"/>
          <w:highlight w:val="none"/>
          <w:lang w:val="en-US" w:eastAsia="zh-CN"/>
        </w:rPr>
        <w:t>5</w:t>
      </w:r>
      <w:r>
        <w:rPr>
          <w:rFonts w:hint="eastAsia" w:ascii="仿宋" w:hAnsi="仿宋" w:eastAsia="仿宋" w:cs="仿宋"/>
          <w:color w:val="000000"/>
          <w:sz w:val="32"/>
          <w:szCs w:val="32"/>
          <w:highlight w:val="none"/>
          <w:lang w:eastAsia="zh-CN"/>
        </w:rPr>
        <w:t>月</w:t>
      </w:r>
      <w:r>
        <w:rPr>
          <w:rFonts w:hint="eastAsia" w:ascii="仿宋" w:hAnsi="仿宋" w:eastAsia="仿宋" w:cs="仿宋"/>
          <w:color w:val="000000"/>
          <w:sz w:val="32"/>
          <w:szCs w:val="32"/>
          <w:highlight w:val="none"/>
          <w:lang w:val="en-US" w:eastAsia="zh-CN"/>
        </w:rPr>
        <w:t>25</w:t>
      </w:r>
      <w:r>
        <w:rPr>
          <w:rFonts w:hint="eastAsia" w:ascii="仿宋" w:hAnsi="仿宋" w:eastAsia="仿宋" w:cs="仿宋"/>
          <w:color w:val="000000"/>
          <w:sz w:val="32"/>
          <w:szCs w:val="32"/>
          <w:highlight w:val="none"/>
          <w:lang w:eastAsia="zh-CN"/>
        </w:rPr>
        <w:t>日</w:t>
      </w:r>
      <w:r>
        <w:rPr>
          <w:rFonts w:hint="eastAsia" w:ascii="仿宋" w:hAnsi="仿宋" w:eastAsia="仿宋" w:cs="仿宋"/>
          <w:color w:val="000000"/>
          <w:sz w:val="32"/>
          <w:szCs w:val="32"/>
          <w:highlight w:val="none"/>
          <w:lang w:val="en-US" w:eastAsia="zh-CN"/>
        </w:rPr>
        <w:t>下午2：30</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lang w:val="en-US" w:eastAsia="zh-CN"/>
        </w:rPr>
        <w:t>暂定，根据实际时间相应调整</w:t>
      </w:r>
      <w:r>
        <w:rPr>
          <w:rFonts w:hint="eastAsia" w:ascii="仿宋" w:hAnsi="仿宋" w:eastAsia="仿宋" w:cs="仿宋"/>
          <w:color w:val="000000"/>
          <w:sz w:val="32"/>
          <w:szCs w:val="32"/>
          <w:highlight w:val="none"/>
          <w:lang w:eastAsia="zh-CN"/>
        </w:rPr>
        <w:t>）开启响应</w:t>
      </w:r>
      <w:r>
        <w:rPr>
          <w:rFonts w:hint="eastAsia" w:ascii="仿宋" w:hAnsi="仿宋" w:eastAsia="仿宋" w:cs="仿宋"/>
          <w:sz w:val="32"/>
          <w:szCs w:val="32"/>
          <w:highlight w:val="none"/>
        </w:rPr>
        <w:t>文件</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并</w:t>
      </w:r>
      <w:r>
        <w:rPr>
          <w:rStyle w:val="61"/>
          <w:rFonts w:hint="eastAsia" w:ascii="仿宋" w:hAnsi="仿宋" w:eastAsia="仿宋" w:cs="仿宋"/>
          <w:sz w:val="32"/>
          <w:szCs w:val="32"/>
          <w:highlight w:val="none"/>
        </w:rPr>
        <w:t>依据采购文件</w:t>
      </w:r>
      <w:r>
        <w:rPr>
          <w:rStyle w:val="61"/>
          <w:rFonts w:hint="eastAsia" w:ascii="仿宋" w:hAnsi="仿宋" w:eastAsia="仿宋" w:cs="仿宋"/>
          <w:sz w:val="32"/>
          <w:szCs w:val="32"/>
          <w:highlight w:val="none"/>
          <w:lang w:val="en-US" w:eastAsia="zh-CN"/>
        </w:rPr>
        <w:t>资格审查</w:t>
      </w:r>
      <w:r>
        <w:rPr>
          <w:rStyle w:val="61"/>
          <w:rFonts w:hint="eastAsia" w:ascii="仿宋" w:hAnsi="仿宋" w:eastAsia="仿宋" w:cs="仿宋"/>
          <w:sz w:val="32"/>
          <w:szCs w:val="32"/>
          <w:highlight w:val="none"/>
        </w:rPr>
        <w:t>要求</w:t>
      </w:r>
      <w:r>
        <w:rPr>
          <w:rFonts w:hint="eastAsia" w:ascii="仿宋" w:hAnsi="仿宋" w:eastAsia="仿宋" w:cs="仿宋"/>
          <w:sz w:val="32"/>
          <w:szCs w:val="32"/>
          <w:highlight w:val="none"/>
        </w:rPr>
        <w:t>进行资格评审（根据实际调整时间），</w:t>
      </w:r>
      <w:r>
        <w:rPr>
          <w:rFonts w:hint="eastAsia" w:ascii="仿宋" w:hAnsi="仿宋" w:eastAsia="仿宋" w:cs="仿宋"/>
          <w:sz w:val="32"/>
          <w:szCs w:val="32"/>
          <w:highlight w:val="none"/>
          <w:lang w:val="en-US" w:eastAsia="zh-CN"/>
        </w:rPr>
        <w:t>资格评审后谈判评审小组成员需复核签字，</w:t>
      </w:r>
      <w:r>
        <w:rPr>
          <w:rStyle w:val="61"/>
          <w:rFonts w:hint="eastAsia" w:ascii="仿宋" w:hAnsi="仿宋" w:eastAsia="仿宋" w:cs="仿宋"/>
          <w:sz w:val="32"/>
          <w:szCs w:val="32"/>
          <w:highlight w:val="none"/>
        </w:rPr>
        <w:t>通过资格审查的</w:t>
      </w:r>
      <w:bookmarkStart w:id="8" w:name="OLE_LINK5"/>
      <w:r>
        <w:rPr>
          <w:rStyle w:val="61"/>
          <w:rFonts w:hint="eastAsia" w:ascii="仿宋" w:hAnsi="仿宋" w:eastAsia="仿宋" w:cs="仿宋"/>
          <w:sz w:val="32"/>
          <w:szCs w:val="32"/>
          <w:highlight w:val="none"/>
        </w:rPr>
        <w:t>供应商</w:t>
      </w:r>
      <w:bookmarkEnd w:id="8"/>
      <w:r>
        <w:rPr>
          <w:rStyle w:val="61"/>
          <w:rFonts w:hint="eastAsia" w:ascii="仿宋" w:hAnsi="仿宋" w:eastAsia="仿宋" w:cs="仿宋"/>
          <w:sz w:val="32"/>
          <w:szCs w:val="32"/>
          <w:highlight w:val="none"/>
        </w:rPr>
        <w:t>才能进入谈判环节。</w:t>
      </w:r>
    </w:p>
    <w:p w14:paraId="6A9B2F1B">
      <w:pPr>
        <w:spacing w:line="520" w:lineRule="exact"/>
        <w:ind w:firstLine="640" w:firstLineChars="200"/>
        <w:rPr>
          <w:rStyle w:val="61"/>
          <w:rFonts w:hint="eastAsia" w:ascii="仿宋" w:hAnsi="仿宋" w:eastAsia="仿宋" w:cs="仿宋"/>
          <w:sz w:val="32"/>
          <w:szCs w:val="32"/>
          <w:highlight w:val="none"/>
        </w:rPr>
      </w:pPr>
      <w:r>
        <w:rPr>
          <w:rFonts w:hint="eastAsia" w:ascii="仿宋" w:hAnsi="仿宋" w:eastAsia="仿宋" w:cs="仿宋"/>
          <w:color w:val="000000"/>
          <w:sz w:val="32"/>
          <w:szCs w:val="32"/>
          <w:highlight w:val="none"/>
        </w:rPr>
        <w:t>没有</w:t>
      </w:r>
      <w:r>
        <w:rPr>
          <w:rFonts w:hint="eastAsia" w:ascii="仿宋" w:hAnsi="仿宋" w:eastAsia="仿宋" w:cs="仿宋"/>
          <w:color w:val="000000"/>
          <w:sz w:val="32"/>
          <w:szCs w:val="32"/>
          <w:highlight w:val="none"/>
          <w:lang w:val="en-US" w:eastAsia="zh-CN"/>
        </w:rPr>
        <w:t>符合条件的</w:t>
      </w:r>
      <w:r>
        <w:rPr>
          <w:rFonts w:hint="eastAsia" w:ascii="仿宋" w:hAnsi="仿宋" w:eastAsia="仿宋" w:cs="仿宋"/>
          <w:color w:val="000000"/>
          <w:sz w:val="32"/>
          <w:szCs w:val="32"/>
          <w:highlight w:val="none"/>
        </w:rPr>
        <w:t>供应商或者合格供应商仅有一家的，将转为单一来源方式进行采购。</w:t>
      </w:r>
    </w:p>
    <w:p w14:paraId="132942B8">
      <w:pPr>
        <w:spacing w:line="540" w:lineRule="exact"/>
        <w:ind w:firstLine="640"/>
        <w:jc w:val="both"/>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t>（</w:t>
      </w:r>
      <w:r>
        <w:rPr>
          <w:rFonts w:hint="eastAsia" w:ascii="仿宋" w:hAnsi="仿宋" w:eastAsia="仿宋" w:cs="仿宋"/>
          <w:color w:val="000000"/>
          <w:sz w:val="32"/>
          <w:szCs w:val="32"/>
          <w:highlight w:val="none"/>
          <w:lang w:val="en-US" w:eastAsia="zh-CN"/>
        </w:rPr>
        <w:t>三</w:t>
      </w:r>
      <w:r>
        <w:rPr>
          <w:rFonts w:hint="eastAsia" w:ascii="仿宋" w:hAnsi="仿宋" w:eastAsia="仿宋" w:cs="仿宋"/>
          <w:color w:val="000000"/>
          <w:sz w:val="32"/>
          <w:szCs w:val="32"/>
          <w:highlight w:val="none"/>
        </w:rPr>
        <w:t>）谈判</w:t>
      </w:r>
    </w:p>
    <w:p w14:paraId="2909A68D">
      <w:pPr>
        <w:spacing w:line="540" w:lineRule="exact"/>
        <w:ind w:firstLine="640"/>
        <w:jc w:val="both"/>
        <w:rPr>
          <w:rFonts w:hint="eastAsia" w:ascii="仿宋" w:hAnsi="仿宋" w:eastAsia="仿宋" w:cs="仿宋"/>
          <w:b w:val="0"/>
          <w:bCs w:val="0"/>
          <w:color w:val="auto"/>
          <w:sz w:val="32"/>
          <w:szCs w:val="32"/>
          <w:highlight w:val="none"/>
        </w:rPr>
      </w:pPr>
      <w:r>
        <w:rPr>
          <w:rFonts w:hint="eastAsia" w:ascii="仿宋" w:hAnsi="仿宋" w:eastAsia="仿宋" w:cs="仿宋"/>
          <w:color w:val="000000"/>
          <w:sz w:val="32"/>
          <w:szCs w:val="32"/>
          <w:highlight w:val="none"/>
        </w:rPr>
        <w:t>1.对于通过资格审查的供应商，采购人将组织谈判，谈判时间</w:t>
      </w:r>
      <w:r>
        <w:rPr>
          <w:rFonts w:hint="eastAsia" w:ascii="仿宋" w:hAnsi="仿宋" w:eastAsia="仿宋" w:cs="仿宋"/>
          <w:b w:val="0"/>
          <w:bCs w:val="0"/>
          <w:color w:val="auto"/>
          <w:sz w:val="32"/>
          <w:szCs w:val="32"/>
          <w:highlight w:val="none"/>
        </w:rPr>
        <w:t>一般安排在资格评审结束后次日进行（根据实际</w:t>
      </w:r>
      <w:r>
        <w:rPr>
          <w:rFonts w:hint="eastAsia" w:ascii="仿宋" w:hAnsi="仿宋" w:eastAsia="仿宋" w:cs="仿宋"/>
          <w:b w:val="0"/>
          <w:bCs w:val="0"/>
          <w:color w:val="auto"/>
          <w:sz w:val="32"/>
          <w:szCs w:val="32"/>
          <w:highlight w:val="none"/>
          <w:lang w:val="en-US" w:eastAsia="zh-CN"/>
        </w:rPr>
        <w:t>可</w:t>
      </w:r>
      <w:r>
        <w:rPr>
          <w:rFonts w:hint="eastAsia" w:ascii="仿宋" w:hAnsi="仿宋" w:eastAsia="仿宋" w:cs="仿宋"/>
          <w:b w:val="0"/>
          <w:bCs w:val="0"/>
          <w:color w:val="auto"/>
          <w:sz w:val="32"/>
          <w:szCs w:val="32"/>
          <w:highlight w:val="none"/>
        </w:rPr>
        <w:t>调整），谈判将通过线</w:t>
      </w:r>
      <w:r>
        <w:rPr>
          <w:rFonts w:hint="eastAsia" w:ascii="仿宋" w:hAnsi="仿宋" w:eastAsia="仿宋" w:cs="仿宋"/>
          <w:b w:val="0"/>
          <w:bCs w:val="0"/>
          <w:color w:val="auto"/>
          <w:sz w:val="32"/>
          <w:szCs w:val="32"/>
          <w:highlight w:val="none"/>
          <w:lang w:val="en-US" w:eastAsia="zh-CN"/>
        </w:rPr>
        <w:t>下</w:t>
      </w:r>
      <w:r>
        <w:rPr>
          <w:rFonts w:hint="eastAsia" w:ascii="仿宋" w:hAnsi="仿宋" w:eastAsia="仿宋" w:cs="仿宋"/>
          <w:b w:val="0"/>
          <w:bCs w:val="0"/>
          <w:color w:val="auto"/>
          <w:sz w:val="32"/>
          <w:szCs w:val="32"/>
          <w:highlight w:val="none"/>
        </w:rPr>
        <w:t>开展，具体谈判时间、</w:t>
      </w:r>
      <w:r>
        <w:rPr>
          <w:rFonts w:hint="eastAsia" w:ascii="仿宋" w:hAnsi="仿宋" w:eastAsia="仿宋" w:cs="仿宋"/>
          <w:b w:val="0"/>
          <w:bCs w:val="0"/>
          <w:color w:val="auto"/>
          <w:sz w:val="32"/>
          <w:szCs w:val="32"/>
          <w:highlight w:val="none"/>
          <w:lang w:val="en-US" w:eastAsia="zh-CN"/>
        </w:rPr>
        <w:t>地点</w:t>
      </w:r>
      <w:r>
        <w:rPr>
          <w:rFonts w:hint="eastAsia" w:ascii="仿宋" w:hAnsi="仿宋" w:eastAsia="仿宋" w:cs="仿宋"/>
          <w:b w:val="0"/>
          <w:bCs w:val="0"/>
          <w:color w:val="auto"/>
          <w:sz w:val="32"/>
          <w:szCs w:val="32"/>
          <w:highlight w:val="none"/>
        </w:rPr>
        <w:t>以采购人</w:t>
      </w:r>
      <w:r>
        <w:rPr>
          <w:rFonts w:hint="eastAsia" w:ascii="仿宋" w:hAnsi="仿宋" w:eastAsia="仿宋" w:cs="仿宋"/>
          <w:b w:val="0"/>
          <w:bCs w:val="0"/>
          <w:color w:val="auto"/>
          <w:sz w:val="32"/>
          <w:szCs w:val="32"/>
          <w:highlight w:val="none"/>
          <w:lang w:val="en-US" w:eastAsia="zh-CN"/>
        </w:rPr>
        <w:t>电话或</w:t>
      </w:r>
      <w:r>
        <w:rPr>
          <w:rFonts w:hint="eastAsia" w:ascii="仿宋" w:hAnsi="仿宋" w:eastAsia="仿宋" w:cs="仿宋"/>
          <w:b w:val="0"/>
          <w:bCs w:val="0"/>
          <w:color w:val="auto"/>
          <w:sz w:val="32"/>
          <w:szCs w:val="32"/>
          <w:highlight w:val="none"/>
        </w:rPr>
        <w:t>邮件通知为准。</w:t>
      </w:r>
    </w:p>
    <w:p w14:paraId="31C273E5">
      <w:pPr>
        <w:spacing w:line="540" w:lineRule="exact"/>
        <w:ind w:firstLine="640"/>
        <w:jc w:val="both"/>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2.供应商委派谈判代表应为项目负责人，在采购人谈判通知的时间内</w:t>
      </w:r>
      <w:bookmarkStart w:id="9" w:name="OLE_LINK2"/>
      <w:r>
        <w:rPr>
          <w:rFonts w:hint="eastAsia" w:ascii="仿宋" w:hAnsi="仿宋" w:eastAsia="仿宋" w:cs="仿宋"/>
          <w:b w:val="0"/>
          <w:bCs w:val="0"/>
          <w:color w:val="auto"/>
          <w:sz w:val="32"/>
          <w:szCs w:val="32"/>
          <w:highlight w:val="none"/>
        </w:rPr>
        <w:t>，不参加或参加人员不符合要求的视为放弃谈判，</w:t>
      </w:r>
      <w:bookmarkEnd w:id="9"/>
      <w:r>
        <w:rPr>
          <w:rFonts w:hint="eastAsia" w:ascii="仿宋" w:hAnsi="仿宋" w:eastAsia="仿宋" w:cs="仿宋"/>
          <w:b w:val="0"/>
          <w:bCs w:val="0"/>
          <w:color w:val="auto"/>
          <w:sz w:val="32"/>
          <w:szCs w:val="32"/>
          <w:highlight w:val="none"/>
        </w:rPr>
        <w:t>属无效响应。</w:t>
      </w:r>
    </w:p>
    <w:p w14:paraId="112A7F23">
      <w:pPr>
        <w:spacing w:line="540" w:lineRule="exact"/>
        <w:ind w:firstLine="640"/>
        <w:jc w:val="both"/>
        <w:rPr>
          <w:rFonts w:hint="eastAsia" w:ascii="仿宋" w:hAnsi="仿宋" w:eastAsia="仿宋" w:cs="仿宋"/>
          <w:color w:val="0000FF"/>
          <w:sz w:val="32"/>
          <w:szCs w:val="32"/>
          <w:highlight w:val="none"/>
        </w:rPr>
      </w:pPr>
      <w:r>
        <w:rPr>
          <w:rFonts w:hint="eastAsia" w:ascii="仿宋" w:hAnsi="仿宋" w:eastAsia="仿宋" w:cs="仿宋"/>
          <w:color w:val="auto"/>
          <w:sz w:val="32"/>
          <w:szCs w:val="32"/>
          <w:highlight w:val="none"/>
        </w:rPr>
        <w:t>3.采购人逐一与供应商代表就价格</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服务</w:t>
      </w:r>
      <w:r>
        <w:rPr>
          <w:rFonts w:hint="eastAsia" w:ascii="仿宋" w:hAnsi="仿宋" w:eastAsia="仿宋" w:cs="仿宋"/>
          <w:color w:val="auto"/>
          <w:sz w:val="32"/>
          <w:szCs w:val="32"/>
          <w:highlight w:val="none"/>
        </w:rPr>
        <w:t>等内容</w:t>
      </w:r>
      <w:r>
        <w:rPr>
          <w:rFonts w:hint="eastAsia" w:ascii="仿宋" w:hAnsi="仿宋" w:eastAsia="仿宋" w:cs="仿宋"/>
          <w:color w:val="000000"/>
          <w:sz w:val="32"/>
          <w:szCs w:val="32"/>
          <w:highlight w:val="none"/>
        </w:rPr>
        <w:t>进行谈判，供应商根据谈判情况可以对原响应文件进行修改，采购人将对谈判过程和重要</w:t>
      </w:r>
      <w:r>
        <w:rPr>
          <w:rFonts w:hint="eastAsia" w:ascii="仿宋" w:hAnsi="仿宋" w:eastAsia="仿宋" w:cs="仿宋"/>
          <w:color w:val="auto"/>
          <w:sz w:val="32"/>
          <w:szCs w:val="32"/>
          <w:highlight w:val="none"/>
        </w:rPr>
        <w:t>谈判内容形成记录，供应商代表签字后作为评审的依据之一。</w:t>
      </w:r>
      <w:r>
        <w:rPr>
          <w:rFonts w:hint="eastAsia" w:ascii="仿宋" w:hAnsi="仿宋" w:eastAsia="仿宋" w:cs="仿宋"/>
          <w:bCs/>
          <w:color w:val="auto"/>
          <w:sz w:val="32"/>
          <w:szCs w:val="32"/>
          <w:highlight w:val="none"/>
        </w:rPr>
        <w:t>谈判结束后收取供应商代表签字的谈判记录。</w:t>
      </w:r>
    </w:p>
    <w:p w14:paraId="6E67D8BD">
      <w:pPr>
        <w:spacing w:line="540" w:lineRule="exact"/>
        <w:ind w:firstLine="640"/>
        <w:jc w:val="both"/>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t>4.在谈判过程中，若存在以下两种情形，相关参与谈判的供应商应在谈判后3个自然日内对修改内容进行盖章确认并提交相应盖章文件，逾期未提交的以首次提交的响应文件进行评审：①供应商代表提出修改价格；②供应商代表提出了采购人谈判</w:t>
      </w:r>
      <w:r>
        <w:rPr>
          <w:rFonts w:hint="eastAsia" w:ascii="仿宋" w:hAnsi="仿宋" w:eastAsia="仿宋" w:cs="仿宋"/>
          <w:color w:val="000000"/>
          <w:sz w:val="32"/>
          <w:szCs w:val="32"/>
          <w:highlight w:val="none"/>
          <w:lang w:val="en-US" w:eastAsia="zh-CN"/>
        </w:rPr>
        <w:t>评审</w:t>
      </w:r>
      <w:r>
        <w:rPr>
          <w:rFonts w:hint="eastAsia" w:ascii="仿宋" w:hAnsi="仿宋" w:eastAsia="仿宋" w:cs="仿宋"/>
          <w:color w:val="000000"/>
          <w:sz w:val="32"/>
          <w:szCs w:val="32"/>
          <w:highlight w:val="none"/>
        </w:rPr>
        <w:t>小组成员一致认为是原响应文件应修改或应补充的重要内容。</w:t>
      </w:r>
    </w:p>
    <w:p w14:paraId="3A6272EF">
      <w:pPr>
        <w:spacing w:line="540" w:lineRule="exact"/>
        <w:ind w:firstLine="640"/>
        <w:jc w:val="both"/>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t>5.供应商代表在谈判中作出的承诺构成响应文件的组成部分。若该承诺涉及对原响应文件的实质性修改或补充，且已加盖供应商公章确认，则以修改后的盖章文件为准，其效力优先于原响应文件。</w:t>
      </w:r>
    </w:p>
    <w:p w14:paraId="7FF9EDFE">
      <w:pPr>
        <w:spacing w:line="540" w:lineRule="exact"/>
        <w:ind w:firstLine="640"/>
        <w:jc w:val="both"/>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t>（</w:t>
      </w:r>
      <w:r>
        <w:rPr>
          <w:rFonts w:hint="eastAsia" w:ascii="仿宋" w:hAnsi="仿宋" w:eastAsia="仿宋" w:cs="仿宋"/>
          <w:color w:val="000000"/>
          <w:sz w:val="32"/>
          <w:szCs w:val="32"/>
          <w:highlight w:val="none"/>
          <w:lang w:val="en-US" w:eastAsia="zh-CN"/>
        </w:rPr>
        <w:t>四</w:t>
      </w:r>
      <w:r>
        <w:rPr>
          <w:rFonts w:hint="eastAsia" w:ascii="仿宋" w:hAnsi="仿宋" w:eastAsia="仿宋" w:cs="仿宋"/>
          <w:color w:val="000000"/>
          <w:sz w:val="32"/>
          <w:szCs w:val="32"/>
          <w:highlight w:val="none"/>
        </w:rPr>
        <w:t xml:space="preserve">）评审方法：综合评估法 </w:t>
      </w:r>
    </w:p>
    <w:bookmarkEnd w:id="5"/>
    <w:p w14:paraId="7521F7C3">
      <w:pPr>
        <w:spacing w:line="540" w:lineRule="exact"/>
        <w:ind w:firstLine="640"/>
        <w:jc w:val="both"/>
        <w:rPr>
          <w:rFonts w:hint="eastAsia" w:ascii="仿宋" w:hAnsi="仿宋" w:eastAsia="仿宋" w:cs="仿宋"/>
          <w:color w:val="auto"/>
          <w:sz w:val="32"/>
          <w:szCs w:val="32"/>
          <w:highlight w:val="none"/>
          <w:lang w:eastAsia="zh-CN"/>
        </w:rPr>
      </w:pPr>
      <w:r>
        <w:rPr>
          <w:rFonts w:hint="eastAsia" w:ascii="仿宋" w:hAnsi="仿宋" w:eastAsia="仿宋" w:cs="仿宋"/>
          <w:color w:val="000000"/>
          <w:sz w:val="32"/>
          <w:szCs w:val="32"/>
          <w:highlight w:val="none"/>
          <w:lang w:eastAsia="zh-CN"/>
        </w:rPr>
        <w:t>本服务项目采用综合评分法 。</w:t>
      </w:r>
      <w:r>
        <w:rPr>
          <w:rFonts w:hint="eastAsia" w:ascii="仿宋" w:hAnsi="仿宋" w:eastAsia="仿宋" w:cs="仿宋"/>
          <w:color w:val="000000"/>
          <w:sz w:val="32"/>
          <w:szCs w:val="32"/>
          <w:highlight w:val="none"/>
          <w:lang w:val="en-US" w:eastAsia="zh-CN"/>
        </w:rPr>
        <w:t>谈判</w:t>
      </w:r>
      <w:r>
        <w:rPr>
          <w:rFonts w:hint="eastAsia" w:ascii="仿宋" w:hAnsi="仿宋" w:eastAsia="仿宋" w:cs="仿宋"/>
          <w:color w:val="000000"/>
          <w:sz w:val="32"/>
          <w:szCs w:val="32"/>
          <w:highlight w:val="none"/>
          <w:lang w:eastAsia="zh-CN"/>
        </w:rPr>
        <w:t>评审小组对满足采购文件实质性要求的响应文件（</w:t>
      </w:r>
      <w:r>
        <w:rPr>
          <w:rFonts w:hint="eastAsia" w:ascii="仿宋" w:hAnsi="仿宋" w:eastAsia="仿宋" w:cs="仿宋"/>
          <w:color w:val="000000"/>
          <w:sz w:val="32"/>
          <w:szCs w:val="32"/>
          <w:highlight w:val="none"/>
          <w:lang w:val="en-US" w:eastAsia="zh-CN"/>
        </w:rPr>
        <w:t>以谈判后的最新响应为准</w:t>
      </w:r>
      <w:r>
        <w:rPr>
          <w:rFonts w:hint="eastAsia" w:ascii="仿宋" w:hAnsi="仿宋" w:eastAsia="仿宋" w:cs="仿宋"/>
          <w:color w:val="000000"/>
          <w:sz w:val="32"/>
          <w:szCs w:val="32"/>
          <w:highlight w:val="none"/>
          <w:lang w:eastAsia="zh-CN"/>
        </w:rPr>
        <w:t>），按照采购文件规定的评分标准进行打分，并按得分由高到低的顺序形成对供应商进行排序的</w:t>
      </w:r>
      <w:r>
        <w:rPr>
          <w:rFonts w:hint="eastAsia" w:ascii="仿宋" w:hAnsi="仿宋" w:eastAsia="仿宋" w:cs="仿宋"/>
          <w:color w:val="000000"/>
          <w:sz w:val="32"/>
          <w:szCs w:val="32"/>
          <w:highlight w:val="none"/>
          <w:lang w:val="en-US" w:eastAsia="zh-CN"/>
        </w:rPr>
        <w:t>谈判</w:t>
      </w:r>
      <w:r>
        <w:rPr>
          <w:rFonts w:hint="eastAsia" w:ascii="仿宋" w:hAnsi="仿宋" w:eastAsia="仿宋" w:cs="仿宋"/>
          <w:color w:val="000000"/>
          <w:sz w:val="32"/>
          <w:szCs w:val="32"/>
          <w:highlight w:val="none"/>
          <w:lang w:eastAsia="zh-CN"/>
        </w:rPr>
        <w:t>评审报告，得分靠前的供应商推荐为成交候选人。</w:t>
      </w:r>
      <w:r>
        <w:rPr>
          <w:rFonts w:hint="eastAsia" w:ascii="仿宋" w:hAnsi="仿宋" w:eastAsia="仿宋" w:cs="仿宋"/>
          <w:color w:val="auto"/>
          <w:sz w:val="32"/>
          <w:szCs w:val="32"/>
          <w:highlight w:val="none"/>
          <w:lang w:eastAsia="zh-CN"/>
        </w:rPr>
        <w:t>综合得分相同的，按价格得分由高到</w:t>
      </w:r>
      <w:r>
        <w:rPr>
          <w:rFonts w:hint="eastAsia" w:ascii="仿宋" w:hAnsi="仿宋" w:eastAsia="仿宋" w:cs="仿宋"/>
          <w:color w:val="auto"/>
          <w:sz w:val="32"/>
          <w:szCs w:val="32"/>
          <w:highlight w:val="none"/>
          <w:lang w:val="en-US" w:eastAsia="zh-CN"/>
        </w:rPr>
        <w:t>低</w:t>
      </w:r>
      <w:r>
        <w:rPr>
          <w:rFonts w:hint="eastAsia" w:ascii="仿宋" w:hAnsi="仿宋" w:eastAsia="仿宋" w:cs="仿宋"/>
          <w:color w:val="auto"/>
          <w:sz w:val="32"/>
          <w:szCs w:val="32"/>
          <w:highlight w:val="none"/>
          <w:lang w:eastAsia="zh-CN"/>
        </w:rPr>
        <w:t>顺序排列。</w:t>
      </w:r>
      <w:r>
        <w:rPr>
          <w:rFonts w:hint="eastAsia" w:ascii="仿宋" w:hAnsi="仿宋" w:eastAsia="仿宋" w:cs="仿宋"/>
          <w:color w:val="auto"/>
          <w:sz w:val="32"/>
          <w:szCs w:val="32"/>
          <w:highlight w:val="none"/>
          <w:lang w:val="en-US" w:eastAsia="zh-CN"/>
        </w:rPr>
        <w:t>综合得分相同且价格得分相同的，由谈判评审小组讨论排列</w:t>
      </w:r>
      <w:r>
        <w:rPr>
          <w:rFonts w:hint="eastAsia" w:ascii="仿宋" w:hAnsi="仿宋" w:eastAsia="仿宋" w:cs="仿宋"/>
          <w:color w:val="auto"/>
          <w:sz w:val="32"/>
          <w:szCs w:val="32"/>
          <w:highlight w:val="none"/>
          <w:lang w:eastAsia="zh-CN"/>
        </w:rPr>
        <w:t>顺序。</w:t>
      </w:r>
    </w:p>
    <w:p w14:paraId="3BF5AD4A">
      <w:pPr>
        <w:shd w:val="clear"/>
        <w:spacing w:line="560" w:lineRule="exact"/>
        <w:ind w:left="0" w:leftChars="0" w:firstLine="640" w:firstLineChars="20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谈判</w:t>
      </w:r>
      <w:r>
        <w:rPr>
          <w:rFonts w:hint="eastAsia" w:ascii="仿宋" w:hAnsi="仿宋" w:eastAsia="仿宋" w:cs="仿宋"/>
          <w:color w:val="auto"/>
          <w:sz w:val="32"/>
          <w:szCs w:val="32"/>
          <w:highlight w:val="none"/>
          <w:lang w:eastAsia="zh-CN"/>
        </w:rPr>
        <w:t>评审小组按规定的</w:t>
      </w:r>
      <w:r>
        <w:rPr>
          <w:rFonts w:hint="eastAsia" w:ascii="仿宋" w:hAnsi="仿宋" w:eastAsia="仿宋" w:cs="仿宋"/>
          <w:color w:val="auto"/>
          <w:sz w:val="32"/>
          <w:szCs w:val="32"/>
          <w:highlight w:val="none"/>
          <w:lang w:val="en-US" w:eastAsia="zh-CN"/>
        </w:rPr>
        <w:t>评审</w:t>
      </w:r>
      <w:r>
        <w:rPr>
          <w:rFonts w:hint="eastAsia" w:ascii="仿宋" w:hAnsi="仿宋" w:eastAsia="仿宋" w:cs="仿宋"/>
          <w:color w:val="auto"/>
          <w:sz w:val="32"/>
          <w:szCs w:val="32"/>
          <w:highlight w:val="none"/>
          <w:lang w:eastAsia="zh-CN"/>
        </w:rPr>
        <w:t>因素和分值进行打分，并计算出综合得分。</w:t>
      </w:r>
      <w:r>
        <w:rPr>
          <w:rFonts w:hint="eastAsia" w:ascii="仿宋" w:hAnsi="仿宋" w:eastAsia="仿宋" w:cs="仿宋"/>
          <w:color w:val="auto"/>
          <w:sz w:val="32"/>
          <w:szCs w:val="32"/>
          <w:highlight w:val="none"/>
          <w:lang w:val="en-US" w:eastAsia="zh-CN"/>
        </w:rPr>
        <w:t>评分表如下：</w:t>
      </w:r>
    </w:p>
    <w:p w14:paraId="6526F6B2">
      <w:pPr>
        <w:spacing w:line="560" w:lineRule="exact"/>
        <w:ind w:leftChars="0" w:firstLine="496" w:firstLineChars="155"/>
        <w:jc w:val="both"/>
        <w:rPr>
          <w:rFonts w:hint="eastAsia" w:ascii="仿宋" w:hAnsi="仿宋" w:eastAsia="仿宋" w:cs="仿宋"/>
          <w:sz w:val="32"/>
          <w:szCs w:val="32"/>
          <w:highlight w:val="none"/>
        </w:rPr>
      </w:pPr>
      <w:r>
        <w:rPr>
          <w:rFonts w:hint="eastAsia" w:ascii="仿宋" w:hAnsi="仿宋" w:eastAsia="仿宋" w:cs="仿宋"/>
          <w:sz w:val="32"/>
          <w:szCs w:val="32"/>
          <w:highlight w:val="none"/>
        </w:rPr>
        <w:t>本项目具体评审标准见下表：</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559"/>
        <w:gridCol w:w="3544"/>
        <w:gridCol w:w="1559"/>
        <w:gridCol w:w="788"/>
      </w:tblGrid>
      <w:tr w14:paraId="3210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022E1560">
            <w:pPr>
              <w:spacing w:line="360" w:lineRule="exact"/>
              <w:ind w:leftChars="0" w:firstLine="0" w:firstLineChars="0"/>
              <w:jc w:val="both"/>
              <w:rPr>
                <w:rFonts w:hint="eastAsia" w:ascii="仿宋" w:hAnsi="仿宋" w:eastAsia="仿宋" w:cs="仿宋"/>
                <w:sz w:val="32"/>
                <w:szCs w:val="32"/>
                <w:highlight w:val="none"/>
              </w:rPr>
            </w:pPr>
            <w:r>
              <w:rPr>
                <w:rFonts w:hint="eastAsia" w:ascii="仿宋" w:hAnsi="仿宋" w:eastAsia="仿宋" w:cs="仿宋"/>
                <w:sz w:val="32"/>
                <w:szCs w:val="32"/>
                <w:highlight w:val="none"/>
              </w:rPr>
              <w:t>序号</w:t>
            </w:r>
          </w:p>
        </w:tc>
        <w:tc>
          <w:tcPr>
            <w:tcW w:w="1559" w:type="dxa"/>
            <w:vAlign w:val="center"/>
          </w:tcPr>
          <w:p w14:paraId="61151655">
            <w:pPr>
              <w:spacing w:line="360" w:lineRule="exact"/>
              <w:ind w:leftChars="0" w:firstLine="0" w:firstLineChars="0"/>
              <w:jc w:val="both"/>
              <w:rPr>
                <w:rFonts w:hint="eastAsia" w:ascii="仿宋" w:hAnsi="仿宋" w:eastAsia="仿宋" w:cs="仿宋"/>
                <w:sz w:val="32"/>
                <w:szCs w:val="32"/>
                <w:highlight w:val="none"/>
              </w:rPr>
            </w:pPr>
            <w:r>
              <w:rPr>
                <w:rFonts w:hint="eastAsia" w:ascii="仿宋" w:hAnsi="仿宋" w:eastAsia="仿宋" w:cs="仿宋"/>
                <w:sz w:val="32"/>
                <w:szCs w:val="32"/>
                <w:highlight w:val="none"/>
              </w:rPr>
              <w:t>评审项目</w:t>
            </w:r>
          </w:p>
        </w:tc>
        <w:tc>
          <w:tcPr>
            <w:tcW w:w="3544" w:type="dxa"/>
            <w:vAlign w:val="center"/>
          </w:tcPr>
          <w:p w14:paraId="17B6789F">
            <w:pPr>
              <w:spacing w:line="360" w:lineRule="exact"/>
              <w:ind w:leftChars="0" w:firstLine="0" w:firstLineChars="0"/>
              <w:rPr>
                <w:rFonts w:hint="eastAsia" w:ascii="仿宋" w:hAnsi="仿宋" w:eastAsia="仿宋" w:cs="仿宋"/>
                <w:sz w:val="32"/>
                <w:szCs w:val="32"/>
                <w:highlight w:val="none"/>
              </w:rPr>
            </w:pPr>
            <w:r>
              <w:rPr>
                <w:rFonts w:hint="eastAsia" w:ascii="仿宋" w:hAnsi="仿宋" w:eastAsia="仿宋" w:cs="仿宋"/>
                <w:sz w:val="32"/>
                <w:szCs w:val="32"/>
                <w:highlight w:val="none"/>
              </w:rPr>
              <w:t>评审标准</w:t>
            </w:r>
          </w:p>
        </w:tc>
        <w:tc>
          <w:tcPr>
            <w:tcW w:w="1559" w:type="dxa"/>
            <w:vAlign w:val="center"/>
          </w:tcPr>
          <w:p w14:paraId="6F7ADE59">
            <w:pPr>
              <w:spacing w:line="360" w:lineRule="exact"/>
              <w:ind w:leftChars="0" w:firstLine="0" w:firstLineChars="0"/>
              <w:rPr>
                <w:rFonts w:hint="eastAsia" w:ascii="仿宋" w:hAnsi="仿宋" w:eastAsia="仿宋" w:cs="仿宋"/>
                <w:sz w:val="32"/>
                <w:szCs w:val="32"/>
                <w:highlight w:val="none"/>
              </w:rPr>
            </w:pPr>
            <w:r>
              <w:rPr>
                <w:rFonts w:hint="eastAsia" w:ascii="仿宋" w:hAnsi="仿宋" w:eastAsia="仿宋" w:cs="仿宋"/>
                <w:sz w:val="32"/>
                <w:szCs w:val="32"/>
                <w:highlight w:val="none"/>
              </w:rPr>
              <w:t>证明材料</w:t>
            </w:r>
          </w:p>
        </w:tc>
        <w:tc>
          <w:tcPr>
            <w:tcW w:w="788" w:type="dxa"/>
            <w:vAlign w:val="center"/>
          </w:tcPr>
          <w:p w14:paraId="6B1E26A8">
            <w:pPr>
              <w:spacing w:line="360" w:lineRule="exact"/>
              <w:ind w:leftChars="0" w:firstLine="0" w:firstLineChars="0"/>
              <w:rPr>
                <w:rFonts w:hint="eastAsia" w:ascii="仿宋" w:hAnsi="仿宋" w:eastAsia="仿宋" w:cs="仿宋"/>
                <w:sz w:val="32"/>
                <w:szCs w:val="32"/>
                <w:highlight w:val="none"/>
              </w:rPr>
            </w:pPr>
            <w:r>
              <w:rPr>
                <w:rFonts w:hint="eastAsia" w:ascii="仿宋" w:hAnsi="仿宋" w:eastAsia="仿宋" w:cs="仿宋"/>
                <w:sz w:val="32"/>
                <w:szCs w:val="32"/>
                <w:highlight w:val="none"/>
              </w:rPr>
              <w:t>分值</w:t>
            </w:r>
          </w:p>
        </w:tc>
      </w:tr>
      <w:tr w14:paraId="01AC0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7E99DEE6">
            <w:pPr>
              <w:spacing w:line="360" w:lineRule="exact"/>
              <w:ind w:leftChars="0" w:firstLine="0" w:firstLineChars="0"/>
              <w:jc w:val="both"/>
              <w:rPr>
                <w:rFonts w:hint="eastAsia" w:ascii="仿宋" w:hAnsi="仿宋" w:eastAsia="仿宋" w:cs="仿宋"/>
                <w:sz w:val="32"/>
                <w:szCs w:val="32"/>
                <w:highlight w:val="none"/>
              </w:rPr>
            </w:pPr>
            <w:r>
              <w:rPr>
                <w:rFonts w:hint="eastAsia" w:ascii="仿宋" w:hAnsi="仿宋" w:eastAsia="仿宋" w:cs="仿宋"/>
                <w:sz w:val="32"/>
                <w:szCs w:val="32"/>
                <w:highlight w:val="none"/>
              </w:rPr>
              <w:t>1</w:t>
            </w:r>
          </w:p>
        </w:tc>
        <w:tc>
          <w:tcPr>
            <w:tcW w:w="1559" w:type="dxa"/>
            <w:vAlign w:val="center"/>
          </w:tcPr>
          <w:p w14:paraId="0D11A083">
            <w:pPr>
              <w:spacing w:line="360" w:lineRule="exact"/>
              <w:ind w:leftChars="0" w:firstLine="0" w:firstLineChars="0"/>
              <w:jc w:val="both"/>
              <w:rPr>
                <w:rFonts w:hint="eastAsia" w:ascii="仿宋" w:hAnsi="仿宋" w:eastAsia="仿宋" w:cs="仿宋"/>
                <w:sz w:val="32"/>
                <w:szCs w:val="32"/>
                <w:highlight w:val="none"/>
              </w:rPr>
            </w:pPr>
            <w:r>
              <w:rPr>
                <w:rFonts w:hint="eastAsia" w:ascii="仿宋" w:hAnsi="仿宋" w:eastAsia="仿宋" w:cs="仿宋"/>
                <w:sz w:val="32"/>
                <w:szCs w:val="32"/>
                <w:highlight w:val="none"/>
              </w:rPr>
              <w:t>响应报价</w:t>
            </w:r>
          </w:p>
        </w:tc>
        <w:tc>
          <w:tcPr>
            <w:tcW w:w="3544" w:type="dxa"/>
            <w:vAlign w:val="center"/>
          </w:tcPr>
          <w:p w14:paraId="5A873451">
            <w:pPr>
              <w:spacing w:line="360" w:lineRule="exact"/>
              <w:ind w:leftChars="0" w:firstLine="0" w:firstLineChars="0"/>
              <w:jc w:val="both"/>
              <w:rPr>
                <w:rFonts w:hint="eastAsia" w:ascii="仿宋" w:hAnsi="仿宋" w:eastAsia="仿宋" w:cs="仿宋"/>
                <w:sz w:val="32"/>
                <w:szCs w:val="32"/>
                <w:highlight w:val="none"/>
              </w:rPr>
            </w:pPr>
            <w:r>
              <w:rPr>
                <w:rFonts w:hint="eastAsia" w:ascii="仿宋" w:hAnsi="仿宋" w:eastAsia="仿宋" w:cs="仿宋"/>
                <w:sz w:val="32"/>
                <w:szCs w:val="32"/>
                <w:highlight w:val="none"/>
              </w:rPr>
              <w:t>所有通过资格评审的供应商</w:t>
            </w:r>
            <w:r>
              <w:rPr>
                <w:rFonts w:hint="eastAsia" w:ascii="仿宋" w:hAnsi="仿宋" w:eastAsia="仿宋" w:cs="仿宋"/>
                <w:sz w:val="32"/>
                <w:szCs w:val="32"/>
                <w:highlight w:val="none"/>
                <w:lang w:val="en-US" w:eastAsia="zh-CN"/>
              </w:rPr>
              <w:t>对深圳出版社和华文国际传媒有限公司</w:t>
            </w:r>
            <w:r>
              <w:rPr>
                <w:rFonts w:hint="eastAsia" w:ascii="仿宋" w:hAnsi="仿宋" w:eastAsia="仿宋" w:cs="仿宋"/>
                <w:sz w:val="32"/>
                <w:szCs w:val="32"/>
                <w:highlight w:val="none"/>
              </w:rPr>
              <w:t>的报价</w:t>
            </w:r>
            <w:r>
              <w:rPr>
                <w:rFonts w:hint="eastAsia" w:ascii="仿宋" w:hAnsi="仿宋" w:eastAsia="仿宋" w:cs="仿宋"/>
                <w:sz w:val="32"/>
                <w:szCs w:val="32"/>
                <w:highlight w:val="none"/>
                <w:lang w:val="en-US" w:eastAsia="zh-CN"/>
              </w:rPr>
              <w:t>之和，</w:t>
            </w:r>
            <w:r>
              <w:rPr>
                <w:rFonts w:hint="eastAsia" w:ascii="仿宋" w:hAnsi="仿宋" w:eastAsia="仿宋" w:cs="仿宋"/>
                <w:sz w:val="32"/>
                <w:szCs w:val="32"/>
                <w:highlight w:val="none"/>
              </w:rPr>
              <w:t>去掉一个最高值和一个最低值后的算术平均值作为评审基准价（如参与响应的有效供应商少于5家时，不再去掉最高和最低值）。</w:t>
            </w:r>
          </w:p>
          <w:p w14:paraId="15D4B538">
            <w:pPr>
              <w:spacing w:line="360" w:lineRule="exact"/>
              <w:ind w:leftChars="0" w:firstLine="0" w:firstLineChars="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eastAsia="zh-CN"/>
              </w:rPr>
              <w:t>价格得分=（1-｜投标报价-基准价｜÷基准价）×价格权重分，</w:t>
            </w:r>
            <w:r>
              <w:rPr>
                <w:rFonts w:hint="eastAsia" w:ascii="仿宋" w:hAnsi="仿宋" w:eastAsia="仿宋" w:cs="仿宋"/>
                <w:sz w:val="32"/>
                <w:szCs w:val="32"/>
                <w:highlight w:val="none"/>
                <w:lang w:val="en-US" w:eastAsia="zh-CN"/>
              </w:rPr>
              <w:t>最高分40分。</w:t>
            </w:r>
          </w:p>
          <w:p w14:paraId="350678DD">
            <w:pPr>
              <w:spacing w:line="360" w:lineRule="exact"/>
              <w:ind w:leftChars="0" w:firstLine="0" w:firstLineChars="0"/>
              <w:jc w:val="both"/>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（注：报价最接近基准分的投标人价格分最高，价格分保留至小数点后两位）</w:t>
            </w:r>
          </w:p>
          <w:p w14:paraId="57327131">
            <w:pPr>
              <w:spacing w:line="360" w:lineRule="exact"/>
              <w:ind w:leftChars="0" w:firstLine="0" w:firstLineChars="0"/>
              <w:jc w:val="both"/>
              <w:rPr>
                <w:rFonts w:hint="eastAsia" w:ascii="仿宋" w:hAnsi="仿宋" w:eastAsia="仿宋" w:cs="仿宋"/>
                <w:sz w:val="32"/>
                <w:szCs w:val="32"/>
                <w:highlight w:val="none"/>
              </w:rPr>
            </w:pPr>
            <w:r>
              <w:rPr>
                <w:rFonts w:hint="eastAsia" w:ascii="仿宋" w:hAnsi="仿宋" w:eastAsia="仿宋" w:cs="仿宋"/>
                <w:sz w:val="32"/>
                <w:szCs w:val="32"/>
                <w:highlight w:val="none"/>
                <w:lang w:eastAsia="zh-CN"/>
              </w:rPr>
              <w:t>报价低于</w:t>
            </w:r>
            <w:r>
              <w:rPr>
                <w:rFonts w:hint="eastAsia" w:ascii="仿宋" w:hAnsi="仿宋" w:eastAsia="仿宋" w:cs="仿宋"/>
                <w:sz w:val="32"/>
                <w:szCs w:val="32"/>
                <w:highlight w:val="none"/>
                <w:lang w:val="en-US" w:eastAsia="zh-CN"/>
              </w:rPr>
              <w:t>两家公司</w:t>
            </w:r>
            <w:r>
              <w:rPr>
                <w:rFonts w:hint="eastAsia" w:ascii="仿宋" w:hAnsi="仿宋" w:eastAsia="仿宋" w:cs="仿宋"/>
                <w:sz w:val="32"/>
                <w:szCs w:val="32"/>
                <w:highlight w:val="none"/>
                <w:lang w:eastAsia="zh-CN"/>
              </w:rPr>
              <w:t>最高限价</w:t>
            </w:r>
            <w:r>
              <w:rPr>
                <w:rFonts w:hint="eastAsia" w:ascii="仿宋" w:hAnsi="仿宋" w:eastAsia="仿宋" w:cs="仿宋"/>
                <w:sz w:val="32"/>
                <w:szCs w:val="32"/>
                <w:highlight w:val="none"/>
                <w:lang w:val="en-US" w:eastAsia="zh-CN"/>
              </w:rPr>
              <w:t>之和或单独报价低于单独最高限价的</w:t>
            </w:r>
            <w:r>
              <w:rPr>
                <w:rFonts w:hint="eastAsia" w:ascii="仿宋" w:hAnsi="仿宋" w:eastAsia="仿宋" w:cs="仿宋"/>
                <w:sz w:val="32"/>
                <w:szCs w:val="32"/>
                <w:highlight w:val="none"/>
                <w:lang w:eastAsia="zh-CN"/>
              </w:rPr>
              <w:t>50%的即为废标，</w:t>
            </w:r>
            <w:r>
              <w:rPr>
                <w:rFonts w:hint="eastAsia" w:ascii="仿宋" w:hAnsi="仿宋" w:eastAsia="仿宋" w:cs="仿宋"/>
                <w:sz w:val="32"/>
                <w:szCs w:val="32"/>
                <w:highlight w:val="none"/>
                <w:lang w:val="en-US" w:eastAsia="zh-CN"/>
              </w:rPr>
              <w:t>报价高于最高限价的同理</w:t>
            </w:r>
            <w:r>
              <w:rPr>
                <w:rFonts w:hint="eastAsia" w:ascii="仿宋" w:hAnsi="仿宋" w:eastAsia="仿宋" w:cs="仿宋"/>
                <w:sz w:val="32"/>
                <w:szCs w:val="32"/>
                <w:highlight w:val="none"/>
                <w:lang w:eastAsia="zh-CN"/>
              </w:rPr>
              <w:t>。</w:t>
            </w:r>
          </w:p>
        </w:tc>
        <w:tc>
          <w:tcPr>
            <w:tcW w:w="1559" w:type="dxa"/>
            <w:vAlign w:val="center"/>
          </w:tcPr>
          <w:p w14:paraId="2F0BED60">
            <w:pPr>
              <w:spacing w:line="360" w:lineRule="exact"/>
              <w:ind w:leftChars="0" w:firstLine="0" w:firstLineChars="0"/>
              <w:jc w:val="both"/>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按附件要求</w:t>
            </w:r>
            <w:r>
              <w:rPr>
                <w:rFonts w:hint="eastAsia" w:ascii="仿宋" w:hAnsi="仿宋" w:eastAsia="仿宋" w:cs="仿宋"/>
                <w:sz w:val="32"/>
                <w:szCs w:val="32"/>
                <w:highlight w:val="none"/>
              </w:rPr>
              <w:t>提供盖章的报价材料</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深圳出版社和华文国际传媒有限公司分开按要求报价，每家公司报价均不能高于该家公司最高限价，不低于最高限价50%</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谈判后需要调整报价的按规定时间提供最新的报价材料</w:t>
            </w:r>
            <w:r>
              <w:rPr>
                <w:rFonts w:hint="eastAsia" w:ascii="仿宋" w:hAnsi="仿宋" w:eastAsia="仿宋" w:cs="仿宋"/>
                <w:sz w:val="32"/>
                <w:szCs w:val="32"/>
                <w:highlight w:val="none"/>
              </w:rPr>
              <w:t>。</w:t>
            </w:r>
          </w:p>
        </w:tc>
        <w:tc>
          <w:tcPr>
            <w:tcW w:w="788" w:type="dxa"/>
            <w:vAlign w:val="center"/>
          </w:tcPr>
          <w:p w14:paraId="6BF16999">
            <w:pPr>
              <w:spacing w:line="360" w:lineRule="exact"/>
              <w:ind w:leftChars="0" w:firstLine="0" w:firstLineChars="0"/>
              <w:jc w:val="both"/>
              <w:rPr>
                <w:rFonts w:hint="eastAsia" w:ascii="仿宋" w:hAnsi="仿宋" w:eastAsia="仿宋" w:cs="仿宋"/>
                <w:sz w:val="32"/>
                <w:szCs w:val="32"/>
                <w:highlight w:val="none"/>
              </w:rPr>
            </w:pPr>
            <w:r>
              <w:rPr>
                <w:rFonts w:hint="eastAsia" w:ascii="仿宋" w:hAnsi="仿宋" w:eastAsia="仿宋" w:cs="仿宋"/>
                <w:sz w:val="32"/>
                <w:szCs w:val="32"/>
                <w:highlight w:val="none"/>
              </w:rPr>
              <w:t>40</w:t>
            </w:r>
          </w:p>
        </w:tc>
      </w:tr>
      <w:tr w14:paraId="6113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shd w:val="clear" w:color="auto" w:fill="auto"/>
            <w:vAlign w:val="center"/>
          </w:tcPr>
          <w:p w14:paraId="70B049E2">
            <w:pPr>
              <w:keepNext w:val="0"/>
              <w:keepLines w:val="0"/>
              <w:pageBreakBefore w:val="0"/>
              <w:widowControl/>
              <w:shd w:val="clear"/>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 w:hAnsi="仿宋" w:eastAsia="仿宋" w:cs="仿宋"/>
                <w:color w:val="auto"/>
                <w:kern w:val="2"/>
                <w:sz w:val="32"/>
                <w:szCs w:val="32"/>
                <w:highlight w:val="none"/>
                <w:vertAlign w:val="baseline"/>
                <w:lang w:val="en-US" w:eastAsia="zh-CN" w:bidi="ar-SA"/>
              </w:rPr>
            </w:pPr>
            <w:r>
              <w:rPr>
                <w:rFonts w:hint="eastAsia" w:ascii="仿宋" w:hAnsi="仿宋" w:eastAsia="仿宋" w:cs="仿宋"/>
                <w:color w:val="auto"/>
                <w:sz w:val="32"/>
                <w:szCs w:val="32"/>
                <w:highlight w:val="none"/>
                <w:vertAlign w:val="baseline"/>
                <w:lang w:val="en-US" w:eastAsia="zh-CN"/>
              </w:rPr>
              <w:t>2</w:t>
            </w:r>
          </w:p>
        </w:tc>
        <w:tc>
          <w:tcPr>
            <w:tcW w:w="1559" w:type="dxa"/>
            <w:shd w:val="clear" w:color="auto" w:fill="auto"/>
            <w:vAlign w:val="center"/>
          </w:tcPr>
          <w:p w14:paraId="51F16D02">
            <w:pPr>
              <w:spacing w:line="360" w:lineRule="exact"/>
              <w:ind w:leftChars="0" w:firstLine="0" w:firstLineChars="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eastAsia="zh-CN"/>
              </w:rPr>
              <w:t>对</w:t>
            </w:r>
            <w:r>
              <w:rPr>
                <w:rFonts w:hint="eastAsia" w:ascii="仿宋" w:hAnsi="仿宋" w:eastAsia="仿宋" w:cs="仿宋"/>
                <w:sz w:val="32"/>
                <w:szCs w:val="32"/>
                <w:highlight w:val="none"/>
                <w:lang w:val="en-US" w:eastAsia="zh-CN"/>
              </w:rPr>
              <w:t>主办律师年限</w:t>
            </w:r>
            <w:r>
              <w:rPr>
                <w:rFonts w:hint="eastAsia" w:ascii="仿宋" w:hAnsi="仿宋" w:eastAsia="仿宋" w:cs="仿宋"/>
                <w:sz w:val="32"/>
                <w:szCs w:val="32"/>
                <w:highlight w:val="none"/>
                <w:lang w:eastAsia="zh-CN"/>
              </w:rPr>
              <w:t>进行评分</w:t>
            </w:r>
          </w:p>
        </w:tc>
        <w:tc>
          <w:tcPr>
            <w:tcW w:w="3544" w:type="dxa"/>
            <w:shd w:val="clear" w:color="auto" w:fill="auto"/>
            <w:vAlign w:val="center"/>
          </w:tcPr>
          <w:p w14:paraId="2B8EB387">
            <w:pPr>
              <w:spacing w:line="360" w:lineRule="exact"/>
              <w:ind w:leftChars="0" w:firstLine="0" w:firstLineChars="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eastAsia="zh-CN"/>
              </w:rPr>
              <w:t>根据投标人拟派的</w:t>
            </w:r>
            <w:r>
              <w:rPr>
                <w:rFonts w:hint="eastAsia" w:ascii="仿宋" w:hAnsi="仿宋" w:eastAsia="仿宋" w:cs="仿宋"/>
                <w:sz w:val="32"/>
                <w:szCs w:val="32"/>
                <w:highlight w:val="none"/>
                <w:lang w:val="en-US" w:eastAsia="zh-CN"/>
              </w:rPr>
              <w:t>主办律师资历等情况</w:t>
            </w:r>
            <w:r>
              <w:rPr>
                <w:rFonts w:hint="eastAsia" w:ascii="仿宋" w:hAnsi="仿宋" w:eastAsia="仿宋" w:cs="仿宋"/>
                <w:sz w:val="32"/>
                <w:szCs w:val="32"/>
                <w:highlight w:val="none"/>
                <w:lang w:eastAsia="zh-CN"/>
              </w:rPr>
              <w:t>进行综合比较，</w:t>
            </w:r>
            <w:r>
              <w:rPr>
                <w:rFonts w:hint="eastAsia" w:ascii="仿宋" w:hAnsi="仿宋" w:eastAsia="仿宋" w:cs="仿宋"/>
                <w:sz w:val="32"/>
                <w:szCs w:val="32"/>
                <w:highlight w:val="none"/>
                <w:lang w:val="en-US" w:eastAsia="zh-CN"/>
              </w:rPr>
              <w:t>主办律师执业10年以上的每多1年加2分，此项最多得10分。</w:t>
            </w:r>
          </w:p>
        </w:tc>
        <w:tc>
          <w:tcPr>
            <w:tcW w:w="1559" w:type="dxa"/>
            <w:shd w:val="clear" w:color="auto" w:fill="auto"/>
            <w:vAlign w:val="center"/>
          </w:tcPr>
          <w:p w14:paraId="0EBE871E">
            <w:pPr>
              <w:spacing w:line="360" w:lineRule="exact"/>
              <w:ind w:leftChars="0" w:firstLine="0" w:firstLineChars="0"/>
              <w:jc w:val="both"/>
              <w:rPr>
                <w:rFonts w:hint="eastAsia" w:ascii="仿宋" w:hAnsi="仿宋" w:eastAsia="仿宋" w:cs="仿宋"/>
                <w:sz w:val="32"/>
                <w:szCs w:val="32"/>
                <w:highlight w:val="none"/>
                <w:lang w:val="en-US" w:eastAsia="zh-CN"/>
              </w:rPr>
            </w:pPr>
          </w:p>
        </w:tc>
        <w:tc>
          <w:tcPr>
            <w:tcW w:w="788" w:type="dxa"/>
            <w:vAlign w:val="center"/>
          </w:tcPr>
          <w:p w14:paraId="2EF917AF">
            <w:pPr>
              <w:spacing w:line="360" w:lineRule="exact"/>
              <w:ind w:leftChars="0" w:firstLine="0" w:firstLineChars="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10</w:t>
            </w:r>
          </w:p>
        </w:tc>
      </w:tr>
      <w:tr w14:paraId="13E4B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Merge w:val="restart"/>
            <w:vAlign w:val="center"/>
          </w:tcPr>
          <w:p w14:paraId="2F937722">
            <w:pPr>
              <w:spacing w:line="360" w:lineRule="exact"/>
              <w:ind w:leftChars="0" w:firstLine="0" w:firstLineChars="0"/>
              <w:jc w:val="both"/>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3</w:t>
            </w:r>
          </w:p>
        </w:tc>
        <w:tc>
          <w:tcPr>
            <w:tcW w:w="1559" w:type="dxa"/>
            <w:vMerge w:val="restart"/>
            <w:vAlign w:val="center"/>
          </w:tcPr>
          <w:p w14:paraId="7ECD4CE5">
            <w:pPr>
              <w:spacing w:line="360" w:lineRule="exact"/>
              <w:ind w:leftChars="0" w:firstLine="0" w:firstLineChars="0"/>
              <w:jc w:val="both"/>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同类项目业绩</w:t>
            </w:r>
          </w:p>
        </w:tc>
        <w:tc>
          <w:tcPr>
            <w:tcW w:w="3544" w:type="dxa"/>
            <w:vAlign w:val="center"/>
          </w:tcPr>
          <w:p w14:paraId="177D223C">
            <w:pPr>
              <w:spacing w:line="360" w:lineRule="exact"/>
              <w:ind w:leftChars="0" w:firstLine="0" w:firstLineChars="0"/>
              <w:jc w:val="both"/>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eastAsia="zh-CN"/>
              </w:rPr>
              <w:t>投标人拟派的</w:t>
            </w:r>
            <w:r>
              <w:rPr>
                <w:rFonts w:hint="eastAsia" w:ascii="仿宋" w:hAnsi="仿宋" w:eastAsia="仿宋" w:cs="仿宋"/>
                <w:sz w:val="32"/>
                <w:szCs w:val="32"/>
                <w:highlight w:val="none"/>
                <w:lang w:val="en-US" w:eastAsia="zh-CN"/>
              </w:rPr>
              <w:t>主办律师或者驻点律师2023年5月1日至响应截止日期间有为政府机关、国企和事业单位提供满1年常年法律顾问服务的，基础分得4分，每多服务1家，加2分，此项最多得10分。</w:t>
            </w:r>
          </w:p>
        </w:tc>
        <w:tc>
          <w:tcPr>
            <w:tcW w:w="1559" w:type="dxa"/>
            <w:vAlign w:val="center"/>
          </w:tcPr>
          <w:p w14:paraId="70038B79">
            <w:pPr>
              <w:spacing w:line="360" w:lineRule="exact"/>
              <w:ind w:leftChars="0" w:firstLine="0" w:firstLineChars="0"/>
              <w:jc w:val="both"/>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按附件7提供合同清单及</w:t>
            </w:r>
            <w:r>
              <w:rPr>
                <w:rFonts w:hint="eastAsia" w:ascii="仿宋" w:hAnsi="仿宋" w:eastAsia="仿宋" w:cs="仿宋"/>
                <w:sz w:val="32"/>
                <w:szCs w:val="32"/>
                <w:highlight w:val="none"/>
                <w:lang w:eastAsia="zh-CN"/>
              </w:rPr>
              <w:t>相关证明材料。</w:t>
            </w:r>
          </w:p>
        </w:tc>
        <w:tc>
          <w:tcPr>
            <w:tcW w:w="788" w:type="dxa"/>
            <w:vAlign w:val="center"/>
          </w:tcPr>
          <w:p w14:paraId="06021062">
            <w:pPr>
              <w:spacing w:line="360" w:lineRule="exact"/>
              <w:ind w:leftChars="0" w:firstLine="0" w:firstLineChars="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10</w:t>
            </w:r>
          </w:p>
        </w:tc>
      </w:tr>
      <w:tr w14:paraId="63E7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846" w:type="dxa"/>
            <w:vMerge w:val="continue"/>
            <w:vAlign w:val="center"/>
          </w:tcPr>
          <w:p w14:paraId="6423CB1E">
            <w:pPr>
              <w:spacing w:line="360" w:lineRule="exact"/>
              <w:ind w:leftChars="0" w:firstLine="0" w:firstLineChars="0"/>
              <w:jc w:val="both"/>
              <w:rPr>
                <w:rFonts w:hint="eastAsia" w:ascii="仿宋" w:hAnsi="仿宋" w:eastAsia="仿宋" w:cs="仿宋"/>
                <w:sz w:val="32"/>
                <w:szCs w:val="32"/>
                <w:highlight w:val="none"/>
              </w:rPr>
            </w:pPr>
          </w:p>
        </w:tc>
        <w:tc>
          <w:tcPr>
            <w:tcW w:w="1559" w:type="dxa"/>
            <w:vMerge w:val="continue"/>
            <w:vAlign w:val="center"/>
          </w:tcPr>
          <w:p w14:paraId="19335B92">
            <w:pPr>
              <w:spacing w:line="360" w:lineRule="exact"/>
              <w:ind w:leftChars="0" w:firstLine="0" w:firstLineChars="0"/>
              <w:jc w:val="both"/>
              <w:rPr>
                <w:rFonts w:hint="eastAsia" w:ascii="仿宋" w:hAnsi="仿宋" w:eastAsia="仿宋" w:cs="仿宋"/>
                <w:sz w:val="32"/>
                <w:szCs w:val="32"/>
                <w:highlight w:val="none"/>
              </w:rPr>
            </w:pPr>
          </w:p>
        </w:tc>
        <w:tc>
          <w:tcPr>
            <w:tcW w:w="3544" w:type="dxa"/>
            <w:vAlign w:val="center"/>
          </w:tcPr>
          <w:p w14:paraId="1AC502BB">
            <w:pPr>
              <w:spacing w:line="360" w:lineRule="exact"/>
              <w:ind w:leftChars="0" w:firstLine="0" w:firstLineChars="0"/>
              <w:jc w:val="both"/>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主办律师或驻点律师在2023年5月1日至响应截止日期间承办经济纠纷或著作权纠纷等相关法律事务案件并胜诉得5分，每多一件加1分，此项最多得10分。</w:t>
            </w:r>
          </w:p>
        </w:tc>
        <w:tc>
          <w:tcPr>
            <w:tcW w:w="1559" w:type="dxa"/>
            <w:vAlign w:val="center"/>
          </w:tcPr>
          <w:p w14:paraId="1C365844">
            <w:pPr>
              <w:spacing w:line="360" w:lineRule="exact"/>
              <w:ind w:leftChars="0" w:firstLine="0" w:firstLineChars="0"/>
              <w:jc w:val="both"/>
              <w:rPr>
                <w:rFonts w:hint="eastAsia" w:ascii="仿宋" w:hAnsi="仿宋" w:eastAsia="仿宋" w:cs="仿宋"/>
                <w:sz w:val="32"/>
                <w:szCs w:val="32"/>
                <w:highlight w:val="none"/>
              </w:rPr>
            </w:pPr>
          </w:p>
        </w:tc>
        <w:tc>
          <w:tcPr>
            <w:tcW w:w="788" w:type="dxa"/>
            <w:vAlign w:val="center"/>
          </w:tcPr>
          <w:p w14:paraId="342F5690">
            <w:pPr>
              <w:spacing w:line="360" w:lineRule="exact"/>
              <w:ind w:leftChars="0" w:firstLine="0" w:firstLineChars="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10</w:t>
            </w:r>
          </w:p>
        </w:tc>
      </w:tr>
      <w:tr w14:paraId="70D2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14:paraId="2BD6F276">
            <w:pPr>
              <w:spacing w:line="360" w:lineRule="exact"/>
              <w:ind w:leftChars="0" w:firstLine="0" w:firstLineChars="0"/>
              <w:jc w:val="both"/>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lang w:val="en-US" w:eastAsia="zh-CN"/>
              </w:rPr>
              <w:t>4</w:t>
            </w:r>
          </w:p>
        </w:tc>
        <w:tc>
          <w:tcPr>
            <w:tcW w:w="1559" w:type="dxa"/>
            <w:vAlign w:val="center"/>
          </w:tcPr>
          <w:p w14:paraId="114C36A6">
            <w:pPr>
              <w:spacing w:line="360" w:lineRule="exact"/>
              <w:ind w:leftChars="0" w:firstLine="0" w:firstLineChars="0"/>
              <w:jc w:val="both"/>
              <w:rPr>
                <w:rFonts w:hint="eastAsia" w:ascii="仿宋" w:hAnsi="仿宋" w:eastAsia="仿宋" w:cs="仿宋"/>
                <w:sz w:val="32"/>
                <w:szCs w:val="32"/>
                <w:highlight w:val="none"/>
                <w:lang w:eastAsia="zh-CN"/>
              </w:rPr>
            </w:pPr>
            <w:r>
              <w:rPr>
                <w:rFonts w:hint="eastAsia" w:ascii="仿宋" w:hAnsi="仿宋" w:eastAsia="仿宋" w:cs="仿宋"/>
                <w:sz w:val="32"/>
                <w:szCs w:val="32"/>
                <w:highlight w:val="none"/>
              </w:rPr>
              <w:t>常年法律顾问服务方案</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一个方案，但</w:t>
            </w:r>
            <w:r>
              <w:rPr>
                <w:rFonts w:hint="eastAsia" w:ascii="仿宋" w:hAnsi="仿宋" w:eastAsia="仿宋" w:cs="仿宋"/>
                <w:color w:val="auto"/>
                <w:sz w:val="32"/>
                <w:szCs w:val="32"/>
                <w:highlight w:val="none"/>
                <w:lang w:val="en-US" w:eastAsia="zh-CN"/>
              </w:rPr>
              <w:t>需在服务方案里面，针对深圳出版社和华文国际传媒有限公司服务内容服务需求差异化的部分分别表述</w:t>
            </w:r>
            <w:r>
              <w:rPr>
                <w:rFonts w:hint="eastAsia" w:ascii="仿宋" w:hAnsi="仿宋" w:eastAsia="仿宋" w:cs="仿宋"/>
                <w:sz w:val="32"/>
                <w:szCs w:val="32"/>
                <w:highlight w:val="none"/>
                <w:lang w:eastAsia="zh-CN"/>
              </w:rPr>
              <w:t>）</w:t>
            </w:r>
          </w:p>
        </w:tc>
        <w:tc>
          <w:tcPr>
            <w:tcW w:w="3544" w:type="dxa"/>
            <w:vAlign w:val="center"/>
          </w:tcPr>
          <w:p w14:paraId="68F126AF">
            <w:pPr>
              <w:spacing w:line="360" w:lineRule="exact"/>
              <w:ind w:leftChars="0" w:firstLine="0" w:firstLineChars="0"/>
              <w:jc w:val="both"/>
              <w:rPr>
                <w:rFonts w:hint="eastAsia" w:ascii="仿宋" w:hAnsi="仿宋" w:eastAsia="仿宋" w:cs="仿宋"/>
                <w:sz w:val="32"/>
                <w:szCs w:val="32"/>
                <w:highlight w:val="none"/>
              </w:rPr>
            </w:pPr>
            <w:r>
              <w:rPr>
                <w:rFonts w:hint="eastAsia" w:ascii="仿宋" w:hAnsi="仿宋" w:eastAsia="仿宋" w:cs="仿宋"/>
                <w:sz w:val="32"/>
                <w:szCs w:val="32"/>
                <w:highlight w:val="none"/>
              </w:rPr>
              <w:t xml:space="preserve">供应商应根据采购方需求制订服务方案，服务方案详细合理、可操作性强，工作思路专业性高，体现服务响应速度。按优劣评比，评比得分优为：30≥n＞25分，良为：25≥n＞20分，基本满足为：20≥n＞10分，差为：10≥n＞0分。 </w:t>
            </w:r>
          </w:p>
        </w:tc>
        <w:tc>
          <w:tcPr>
            <w:tcW w:w="1559" w:type="dxa"/>
            <w:vAlign w:val="center"/>
          </w:tcPr>
          <w:p w14:paraId="116F63B8">
            <w:pPr>
              <w:spacing w:line="360" w:lineRule="exact"/>
              <w:ind w:leftChars="0" w:firstLine="0" w:firstLineChars="0"/>
              <w:jc w:val="both"/>
              <w:rPr>
                <w:rFonts w:hint="eastAsia" w:ascii="仿宋" w:hAnsi="仿宋" w:eastAsia="仿宋" w:cs="仿宋"/>
                <w:sz w:val="32"/>
                <w:szCs w:val="32"/>
                <w:highlight w:val="none"/>
              </w:rPr>
            </w:pPr>
            <w:r>
              <w:rPr>
                <w:rFonts w:hint="eastAsia" w:ascii="仿宋" w:hAnsi="仿宋" w:eastAsia="仿宋" w:cs="仿宋"/>
                <w:sz w:val="32"/>
                <w:szCs w:val="32"/>
                <w:highlight w:val="none"/>
              </w:rPr>
              <w:t>提供常年法律顾问服务方案。</w:t>
            </w:r>
          </w:p>
        </w:tc>
        <w:tc>
          <w:tcPr>
            <w:tcW w:w="788" w:type="dxa"/>
            <w:vAlign w:val="center"/>
          </w:tcPr>
          <w:p w14:paraId="2A8B1FA5">
            <w:pPr>
              <w:spacing w:line="360" w:lineRule="exact"/>
              <w:ind w:leftChars="0" w:firstLine="0" w:firstLineChars="0"/>
              <w:jc w:val="both"/>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30</w:t>
            </w:r>
          </w:p>
        </w:tc>
      </w:tr>
    </w:tbl>
    <w:p w14:paraId="1B734CA1">
      <w:pPr>
        <w:keepNext w:val="0"/>
        <w:keepLines w:val="0"/>
        <w:pageBreakBefore w:val="0"/>
        <w:shd w:val="clear"/>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若供应商的报价（</w:t>
      </w:r>
      <w:r>
        <w:rPr>
          <w:rFonts w:hint="eastAsia" w:ascii="仿宋" w:hAnsi="仿宋" w:eastAsia="仿宋" w:cs="仿宋"/>
          <w:color w:val="auto"/>
          <w:sz w:val="32"/>
          <w:szCs w:val="32"/>
          <w:highlight w:val="none"/>
          <w:lang w:val="en-US" w:eastAsia="zh-CN"/>
        </w:rPr>
        <w:t>深圳出版社和华文国际传媒有限公司报价之和以及单独报价</w:t>
      </w:r>
      <w:r>
        <w:rPr>
          <w:rFonts w:hint="eastAsia" w:ascii="仿宋" w:hAnsi="仿宋" w:eastAsia="仿宋" w:cs="仿宋"/>
          <w:color w:val="auto"/>
          <w:sz w:val="32"/>
          <w:szCs w:val="32"/>
          <w:highlight w:val="none"/>
          <w:lang w:eastAsia="zh-CN"/>
        </w:rPr>
        <w:t>）显著低于其他报价（</w:t>
      </w:r>
      <w:r>
        <w:rPr>
          <w:rFonts w:hint="eastAsia" w:ascii="仿宋" w:hAnsi="仿宋" w:eastAsia="仿宋" w:cs="仿宋"/>
          <w:color w:val="auto"/>
          <w:sz w:val="32"/>
          <w:szCs w:val="32"/>
          <w:highlight w:val="none"/>
          <w:lang w:val="en-US" w:eastAsia="zh-CN"/>
        </w:rPr>
        <w:t>一般来说低于最高限价50%</w:t>
      </w:r>
      <w:r>
        <w:rPr>
          <w:rFonts w:hint="eastAsia" w:ascii="仿宋" w:hAnsi="仿宋" w:eastAsia="仿宋" w:cs="仿宋"/>
          <w:color w:val="auto"/>
          <w:sz w:val="32"/>
          <w:szCs w:val="32"/>
          <w:highlight w:val="none"/>
          <w:lang w:eastAsia="zh-CN"/>
        </w:rPr>
        <w:t>），使得其响应报价可能低于其个别成本的，有可能影响服务质量或不能诚信履约的，作无效处理。</w:t>
      </w:r>
    </w:p>
    <w:p w14:paraId="5F1A9FB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sz w:val="32"/>
          <w:szCs w:val="32"/>
          <w:highlight w:val="none"/>
        </w:rPr>
      </w:pPr>
      <w:r>
        <w:rPr>
          <w:rFonts w:hint="eastAsia" w:ascii="仿宋" w:hAnsi="仿宋" w:eastAsia="仿宋" w:cs="仿宋"/>
          <w:color w:val="auto"/>
          <w:sz w:val="32"/>
          <w:szCs w:val="32"/>
          <w:highlight w:val="none"/>
          <w:lang w:val="en-US" w:eastAsia="zh-CN"/>
        </w:rPr>
        <w:t>评审后，谈判评审小组出具谈判评审报告，小组成员均需签字，由采购人根据谈判评审小组出具的报告和成交建</w:t>
      </w:r>
      <w:r>
        <w:rPr>
          <w:rFonts w:hint="eastAsia" w:ascii="仿宋" w:hAnsi="仿宋" w:eastAsia="仿宋" w:cs="仿宋"/>
          <w:color w:val="auto"/>
          <w:sz w:val="32"/>
          <w:szCs w:val="32"/>
          <w:highlight w:val="none"/>
          <w:lang w:eastAsia="zh-CN"/>
        </w:rPr>
        <w:t>议</w:t>
      </w:r>
      <w:r>
        <w:rPr>
          <w:rFonts w:hint="eastAsia" w:ascii="仿宋" w:hAnsi="仿宋" w:eastAsia="仿宋" w:cs="仿宋"/>
          <w:color w:val="auto"/>
          <w:sz w:val="32"/>
          <w:szCs w:val="32"/>
          <w:highlight w:val="none"/>
          <w:lang w:val="en-US" w:eastAsia="zh-CN"/>
        </w:rPr>
        <w:t>（综合得分最高者，若得分相同按排序靠前者）</w:t>
      </w:r>
      <w:r>
        <w:rPr>
          <w:rFonts w:hint="eastAsia" w:ascii="仿宋" w:hAnsi="仿宋" w:eastAsia="仿宋" w:cs="仿宋"/>
          <w:color w:val="auto"/>
          <w:sz w:val="32"/>
          <w:szCs w:val="32"/>
          <w:highlight w:val="none"/>
          <w:lang w:eastAsia="zh-CN"/>
        </w:rPr>
        <w:t>确定成交供应商。</w:t>
      </w:r>
    </w:p>
    <w:p w14:paraId="4C836284">
      <w:pPr>
        <w:numPr>
          <w:ilvl w:val="0"/>
          <w:numId w:val="0"/>
        </w:numPr>
        <w:tabs>
          <w:tab w:val="left" w:pos="6090"/>
        </w:tabs>
        <w:spacing w:line="500" w:lineRule="exact"/>
        <w:ind w:firstLine="643" w:firstLineChars="200"/>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保密</w:t>
      </w:r>
    </w:p>
    <w:p w14:paraId="67673F03">
      <w:pPr>
        <w:ind w:firstLine="560"/>
        <w:rPr>
          <w:rFonts w:hint="eastAsia" w:ascii="仿宋" w:hAnsi="仿宋" w:eastAsia="仿宋" w:cs="仿宋"/>
          <w:sz w:val="32"/>
          <w:szCs w:val="32"/>
          <w:highlight w:val="none"/>
        </w:rPr>
      </w:pPr>
      <w:r>
        <w:rPr>
          <w:rFonts w:hint="eastAsia" w:ascii="仿宋" w:hAnsi="仿宋" w:eastAsia="仿宋" w:cs="仿宋"/>
          <w:sz w:val="32"/>
          <w:szCs w:val="32"/>
          <w:highlight w:val="none"/>
        </w:rPr>
        <w:t>参与采购活动的各方应对采购文件、响应文件以及评审过程中获知的商业、技术、人员等信息保密，违者应对由此造成的后果承担法律责任。</w:t>
      </w:r>
    </w:p>
    <w:p w14:paraId="7EE946DA">
      <w:pPr>
        <w:numPr>
          <w:ilvl w:val="0"/>
          <w:numId w:val="0"/>
        </w:numPr>
        <w:tabs>
          <w:tab w:val="left" w:pos="6090"/>
        </w:tabs>
        <w:spacing w:line="500" w:lineRule="exact"/>
        <w:ind w:firstLine="640" w:firstLineChars="200"/>
        <w:rPr>
          <w:rFonts w:hint="eastAsia" w:ascii="仿宋" w:hAnsi="仿宋" w:eastAsia="仿宋" w:cs="仿宋"/>
          <w:sz w:val="32"/>
          <w:szCs w:val="32"/>
          <w:highlight w:val="none"/>
        </w:rPr>
      </w:pPr>
      <w:r>
        <w:rPr>
          <w:rFonts w:hint="eastAsia" w:ascii="仿宋" w:hAnsi="仿宋" w:eastAsia="仿宋" w:cs="仿宋"/>
          <w:sz w:val="32"/>
          <w:szCs w:val="32"/>
          <w:highlight w:val="none"/>
        </w:rPr>
        <w:t>评审结果与成交通知</w:t>
      </w:r>
    </w:p>
    <w:p w14:paraId="1AB023F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采购人（深圳出版社、深圳市华文国际传媒有限公司）确定成交供应商后需及时向成交供应商发出成交通知书。若得分排名第一的供应商放弃成交、因不可抗力不能履行合同，或者被查实存在影响评审结果的违法行为等情形，不符合成交条件的，采购人可以按照谈判评审小组提出的供应商名单排序依次确定其他供应商为成交供应商，也可以重新采购。</w:t>
      </w:r>
    </w:p>
    <w:p w14:paraId="715C374D">
      <w:pPr>
        <w:widowControl/>
        <w:spacing w:line="240" w:lineRule="auto"/>
        <w:ind w:firstLine="0" w:firstLineChars="0"/>
        <w:rPr>
          <w:rFonts w:hint="eastAsia" w:ascii="仿宋" w:hAnsi="仿宋" w:eastAsia="仿宋" w:cs="仿宋"/>
          <w:sz w:val="32"/>
          <w:szCs w:val="32"/>
          <w:highlight w:val="none"/>
        </w:rPr>
      </w:pPr>
      <w:r>
        <w:rPr>
          <w:rFonts w:hint="eastAsia" w:ascii="仿宋" w:hAnsi="仿宋" w:eastAsia="仿宋" w:cs="仿宋"/>
          <w:sz w:val="32"/>
          <w:szCs w:val="32"/>
          <w:highlight w:val="none"/>
        </w:rPr>
        <w:br w:type="page"/>
      </w:r>
    </w:p>
    <w:p w14:paraId="3FFEA0EA">
      <w:pPr>
        <w:pStyle w:val="2"/>
        <w:ind w:firstLine="2640" w:firstLineChars="600"/>
        <w:jc w:val="both"/>
        <w:rPr>
          <w:highlight w:val="none"/>
        </w:rPr>
      </w:pPr>
      <w:bookmarkStart w:id="10" w:name="_Toc204764243"/>
      <w:r>
        <w:rPr>
          <w:rFonts w:hint="eastAsia"/>
          <w:highlight w:val="none"/>
        </w:rPr>
        <w:t>第</w:t>
      </w:r>
      <w:r>
        <w:rPr>
          <w:rFonts w:hint="eastAsia"/>
          <w:highlight w:val="none"/>
          <w:lang w:val="en-US" w:eastAsia="zh-CN"/>
        </w:rPr>
        <w:t>五</w:t>
      </w:r>
      <w:r>
        <w:rPr>
          <w:rFonts w:hint="eastAsia"/>
          <w:highlight w:val="none"/>
        </w:rPr>
        <w:t>章 合同签订</w:t>
      </w:r>
      <w:bookmarkEnd w:id="10"/>
    </w:p>
    <w:p w14:paraId="5C5FE53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采购单位书面通知中选单位，</w:t>
      </w:r>
      <w:r>
        <w:rPr>
          <w:rFonts w:hint="eastAsia" w:ascii="仿宋_GB2312" w:hAnsi="仿宋_GB2312" w:cs="仿宋_GB2312"/>
          <w:color w:val="auto"/>
          <w:sz w:val="32"/>
          <w:szCs w:val="32"/>
          <w:highlight w:val="none"/>
          <w:lang w:val="en-US" w:eastAsia="zh-CN"/>
        </w:rPr>
        <w:t>中选单位分别与深圳出版社和深圳市华文国际传媒有限公司</w:t>
      </w:r>
      <w:r>
        <w:rPr>
          <w:rFonts w:hint="eastAsia" w:ascii="仿宋_GB2312" w:hAnsi="仿宋_GB2312" w:eastAsia="仿宋_GB2312" w:cs="仿宋_GB2312"/>
          <w:color w:val="auto"/>
          <w:sz w:val="32"/>
          <w:szCs w:val="32"/>
          <w:highlight w:val="none"/>
        </w:rPr>
        <w:t>订立书面合同，</w:t>
      </w:r>
      <w:r>
        <w:rPr>
          <w:rFonts w:hint="eastAsia" w:ascii="仿宋_GB2312" w:hAnsi="仿宋_GB2312" w:cs="仿宋_GB2312"/>
          <w:color w:val="auto"/>
          <w:sz w:val="32"/>
          <w:szCs w:val="32"/>
          <w:highlight w:val="none"/>
          <w:lang w:val="en-US" w:eastAsia="zh-CN"/>
        </w:rPr>
        <w:t>分别结算，</w:t>
      </w:r>
      <w:r>
        <w:rPr>
          <w:rFonts w:hint="eastAsia" w:ascii="仿宋_GB2312" w:hAnsi="仿宋_GB2312" w:eastAsia="仿宋_GB2312" w:cs="仿宋_GB2312"/>
          <w:color w:val="auto"/>
          <w:sz w:val="32"/>
          <w:szCs w:val="32"/>
          <w:highlight w:val="none"/>
        </w:rPr>
        <w:t>合同一式四份，项目单位两份，中选单位两份</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采购文件、成交供应商的响应文件及其澄清、修改文件等，均为签订合同的依据。成交供应商存在无正当理由拒签合同、在签订合同时向采购人提出附加条件、被查实存在影响采购结果的违反采购文件要求的行为等情形的，采购人将根据对采购过程和采购结果的影响程度采取一切合理措施，包括但不限于取消供应商的响应资格、要求供应商赔偿损失等。</w:t>
      </w:r>
    </w:p>
    <w:p w14:paraId="3AE9E9F0">
      <w:pPr>
        <w:shd w:val="clear"/>
        <w:spacing w:line="56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合同主要条款：</w:t>
      </w:r>
    </w:p>
    <w:p w14:paraId="7BCE0D2F">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1.本服务项目不允许供应商转包和分包，否则采购人有权终止合同。</w:t>
      </w:r>
    </w:p>
    <w:p w14:paraId="4835A44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2.如采购人有需要，供应商应在 12 小时以内上门提</w:t>
      </w:r>
    </w:p>
    <w:p w14:paraId="3C5727FF">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供专业法律服务。</w:t>
      </w:r>
    </w:p>
    <w:p w14:paraId="15E11CD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3.供应商应派出1名本项目主办律师</w:t>
      </w:r>
      <w:r>
        <w:rPr>
          <w:rFonts w:hint="eastAsia" w:ascii="仿宋_GB2312" w:hAnsi="仿宋_GB2312" w:cs="仿宋_GB2312"/>
          <w:color w:val="auto"/>
          <w:sz w:val="32"/>
          <w:szCs w:val="32"/>
          <w:highlight w:val="none"/>
          <w:lang w:val="en-US" w:eastAsia="zh-CN"/>
        </w:rPr>
        <w:t>提供服务，以及1名驻点律师</w:t>
      </w:r>
      <w:r>
        <w:rPr>
          <w:rFonts w:hint="eastAsia" w:ascii="仿宋_GB2312" w:hAnsi="仿宋_GB2312" w:eastAsia="仿宋_GB2312" w:cs="仿宋_GB2312"/>
          <w:color w:val="auto"/>
          <w:sz w:val="32"/>
          <w:szCs w:val="32"/>
          <w:highlight w:val="none"/>
          <w:lang w:val="en-US" w:eastAsia="zh-CN"/>
        </w:rPr>
        <w:t>驻点提供服务。</w:t>
      </w:r>
    </w:p>
    <w:p w14:paraId="76E4755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textAlignment w:val="auto"/>
        <w:rPr>
          <w:rFonts w:hint="eastAsia" w:ascii="仿宋_GB2312" w:hAnsi="宋体"/>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auto"/>
          <w:sz w:val="32"/>
          <w:szCs w:val="32"/>
          <w:highlight w:val="none"/>
          <w:lang w:val="en-US" w:eastAsia="zh-CN"/>
        </w:rPr>
        <w:t>4.采购人有权根据自身需要，在供应商的服务范围内安排工作内容，以完成本合同。采购人有权对供应商交付项目成果提出意见和建议，供应商应根据采购人的意见和建议修改完善以确保满足项目要求。采购人认为供应商的工作人员不能胜任工作的，有权要求供应商予以更换。供应商因故更换</w:t>
      </w:r>
      <w:r>
        <w:rPr>
          <w:rFonts w:hint="eastAsia" w:ascii="仿宋_GB2312" w:hAnsi="仿宋_GB2312" w:cs="仿宋_GB2312"/>
          <w:color w:val="auto"/>
          <w:sz w:val="32"/>
          <w:szCs w:val="32"/>
          <w:highlight w:val="none"/>
          <w:lang w:val="en-US" w:eastAsia="zh-CN"/>
        </w:rPr>
        <w:t>主办律师或</w:t>
      </w:r>
      <w:r>
        <w:rPr>
          <w:rFonts w:hint="eastAsia" w:ascii="仿宋_GB2312" w:hAnsi="仿宋_GB2312" w:eastAsia="仿宋_GB2312" w:cs="仿宋_GB2312"/>
          <w:color w:val="auto"/>
          <w:sz w:val="32"/>
          <w:szCs w:val="32"/>
          <w:highlight w:val="none"/>
          <w:lang w:val="en-US" w:eastAsia="zh-CN"/>
        </w:rPr>
        <w:t>驻点律师的，须经采购人同意后方可进行。</w:t>
      </w:r>
      <w:r>
        <w:rPr>
          <w:rFonts w:hint="eastAsia" w:ascii="仿宋_GB2312" w:hAnsi="宋体"/>
          <w:color w:val="000000" w:themeColor="text1"/>
          <w:sz w:val="32"/>
          <w:szCs w:val="32"/>
          <w:highlight w:val="none"/>
          <w14:textFill>
            <w14:solidFill>
              <w14:schemeClr w14:val="tx1"/>
            </w14:solidFill>
          </w14:textFill>
        </w:rPr>
        <w:br w:type="page"/>
      </w:r>
    </w:p>
    <w:p w14:paraId="5CE76C2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附件1</w:t>
      </w:r>
    </w:p>
    <w:p w14:paraId="0032077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highlight w:val="none"/>
          <w:lang w:val="en-US" w:eastAsia="zh-CN"/>
        </w:rPr>
      </w:pPr>
    </w:p>
    <w:p w14:paraId="2D60673B">
      <w:pPr>
        <w:shd w:val="clear"/>
        <w:spacing w:line="560" w:lineRule="exact"/>
        <w:ind w:firstLine="2650" w:firstLineChars="600"/>
        <w:jc w:val="both"/>
        <w:rPr>
          <w:rFonts w:hint="eastAsia" w:ascii="宋体" w:hAnsi="宋体" w:eastAsia="宋体" w:cs="宋体"/>
          <w:b/>
          <w:bCs w:val="0"/>
          <w:color w:val="auto"/>
          <w:sz w:val="44"/>
          <w:szCs w:val="44"/>
          <w:highlight w:val="none"/>
          <w:lang w:val="en-US" w:eastAsia="zh-CN"/>
        </w:rPr>
      </w:pPr>
      <w:r>
        <w:rPr>
          <w:rFonts w:hint="eastAsia" w:ascii="宋体" w:hAnsi="宋体" w:eastAsia="宋体" w:cs="宋体"/>
          <w:b/>
          <w:bCs w:val="0"/>
          <w:color w:val="auto"/>
          <w:sz w:val="44"/>
          <w:szCs w:val="44"/>
          <w:highlight w:val="none"/>
          <w:lang w:val="en-US" w:eastAsia="zh-CN"/>
        </w:rPr>
        <w:t>响应文件目录表</w:t>
      </w:r>
    </w:p>
    <w:p w14:paraId="052C2018">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b/>
          <w:bCs/>
          <w:color w:val="auto"/>
          <w:sz w:val="44"/>
          <w:szCs w:val="44"/>
          <w:highlight w:val="none"/>
          <w:lang w:val="en-US" w:eastAsia="zh-CN"/>
        </w:rPr>
      </w:pPr>
    </w:p>
    <w:p w14:paraId="62E17C17">
      <w:pPr>
        <w:shd w:val="clear"/>
        <w:spacing w:line="700" w:lineRule="exact"/>
        <w:ind w:left="0" w:leftChars="0" w:firstLine="0" w:firstLineChars="0"/>
        <w:jc w:val="both"/>
        <w:rPr>
          <w:rFonts w:hint="default" w:ascii="仿宋" w:hAnsi="仿宋" w:eastAsia="仿宋" w:cs="仿宋"/>
          <w:color w:val="auto"/>
          <w:sz w:val="28"/>
          <w:szCs w:val="28"/>
          <w:highlight w:val="none"/>
          <w:lang w:val="en-US" w:eastAsia="zh-CN"/>
        </w:rPr>
      </w:pPr>
      <w:r>
        <w:rPr>
          <w:rFonts w:hint="default" w:ascii="仿宋" w:hAnsi="仿宋" w:eastAsia="仿宋" w:cs="仿宋"/>
          <w:color w:val="auto"/>
          <w:sz w:val="28"/>
          <w:szCs w:val="28"/>
          <w:highlight w:val="none"/>
          <w:lang w:val="en-US" w:eastAsia="zh-CN"/>
        </w:rPr>
        <w:t>项目名称：</w:t>
      </w:r>
      <w:r>
        <w:rPr>
          <w:rFonts w:hint="eastAsia" w:ascii="仿宋" w:hAnsi="仿宋" w:eastAsia="仿宋" w:cs="仿宋"/>
          <w:color w:val="auto"/>
          <w:sz w:val="28"/>
          <w:szCs w:val="28"/>
          <w:highlight w:val="none"/>
          <w:lang w:val="en-US" w:eastAsia="zh-CN"/>
        </w:rPr>
        <w:t>深圳出版社有限责任公司2年常年法律顾问服务项目</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7EDEF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3FA5129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r>
              <w:rPr>
                <w:rFonts w:hint="default" w:ascii="仿宋" w:hAnsi="仿宋" w:eastAsia="仿宋" w:cs="仿宋"/>
                <w:color w:val="auto"/>
                <w:sz w:val="32"/>
                <w:szCs w:val="32"/>
                <w:highlight w:val="none"/>
                <w:lang w:val="en-US" w:eastAsia="zh-CN"/>
              </w:rPr>
              <w:t>序号</w:t>
            </w:r>
          </w:p>
        </w:tc>
        <w:tc>
          <w:tcPr>
            <w:tcW w:w="2130" w:type="dxa"/>
          </w:tcPr>
          <w:p w14:paraId="0E3047E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r>
              <w:rPr>
                <w:rFonts w:hint="default" w:ascii="仿宋" w:hAnsi="仿宋" w:eastAsia="仿宋" w:cs="仿宋"/>
                <w:color w:val="auto"/>
                <w:sz w:val="32"/>
                <w:szCs w:val="32"/>
                <w:highlight w:val="none"/>
                <w:lang w:val="en-US" w:eastAsia="zh-CN"/>
              </w:rPr>
              <w:t>资料名称</w:t>
            </w:r>
          </w:p>
        </w:tc>
        <w:tc>
          <w:tcPr>
            <w:tcW w:w="2131" w:type="dxa"/>
          </w:tcPr>
          <w:p w14:paraId="7EB94E7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r>
              <w:rPr>
                <w:rFonts w:hint="default" w:ascii="仿宋" w:hAnsi="仿宋" w:eastAsia="仿宋" w:cs="仿宋"/>
                <w:color w:val="auto"/>
                <w:sz w:val="32"/>
                <w:szCs w:val="32"/>
                <w:highlight w:val="none"/>
                <w:lang w:val="en-US" w:eastAsia="zh-CN"/>
              </w:rPr>
              <w:t>页码</w:t>
            </w:r>
          </w:p>
        </w:tc>
        <w:tc>
          <w:tcPr>
            <w:tcW w:w="2131" w:type="dxa"/>
          </w:tcPr>
          <w:p w14:paraId="0F8CDE3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r>
              <w:rPr>
                <w:rFonts w:hint="default" w:ascii="仿宋" w:hAnsi="仿宋" w:eastAsia="仿宋" w:cs="仿宋"/>
                <w:color w:val="auto"/>
                <w:sz w:val="32"/>
                <w:szCs w:val="32"/>
                <w:highlight w:val="none"/>
                <w:lang w:val="en-US" w:eastAsia="zh-CN"/>
              </w:rPr>
              <w:t xml:space="preserve"> 备注</w:t>
            </w:r>
          </w:p>
        </w:tc>
      </w:tr>
      <w:tr w14:paraId="1247F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0FED6F7F">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0" w:type="dxa"/>
          </w:tcPr>
          <w:p w14:paraId="5E2185C6">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443AE1E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274FB648">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112D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732FA84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0" w:type="dxa"/>
          </w:tcPr>
          <w:p w14:paraId="0836105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7910A33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4C5986F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501C7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284B826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0" w:type="dxa"/>
          </w:tcPr>
          <w:p w14:paraId="072C13A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33A3E45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1710B53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732A9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5E1452D8">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0" w:type="dxa"/>
          </w:tcPr>
          <w:p w14:paraId="6ED8D7B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1F92B1B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3DA67D0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7AACB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7C689B6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0" w:type="dxa"/>
          </w:tcPr>
          <w:p w14:paraId="5F14D7B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6C6598F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4DDAC98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6E76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39ECE1B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0" w:type="dxa"/>
          </w:tcPr>
          <w:p w14:paraId="08A1CCA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35930506">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618406F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6659F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3780A5F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0" w:type="dxa"/>
          </w:tcPr>
          <w:p w14:paraId="2EDD288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1AB2AB9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172289E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3DE6F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38BEE79F">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0" w:type="dxa"/>
          </w:tcPr>
          <w:p w14:paraId="1A551636">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78C66AC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2375FE4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78911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494D627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0" w:type="dxa"/>
          </w:tcPr>
          <w:p w14:paraId="43B10D3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2F43854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6298BDA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66185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477C4D9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0" w:type="dxa"/>
          </w:tcPr>
          <w:p w14:paraId="5786BB1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3B6E630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46A7403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6F9A5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4315D9A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0" w:type="dxa"/>
          </w:tcPr>
          <w:p w14:paraId="35F2848F">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7AF651D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4A4F88E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17733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0D10366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0" w:type="dxa"/>
          </w:tcPr>
          <w:p w14:paraId="2870F67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1AD4B98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41D261C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10CE4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69CE14F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0" w:type="dxa"/>
          </w:tcPr>
          <w:p w14:paraId="533F1FF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6ECCA71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75B8F65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12C1B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659FCB3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0" w:type="dxa"/>
          </w:tcPr>
          <w:p w14:paraId="0910B938">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535EEA1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250B8DD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724D3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43E26CA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0" w:type="dxa"/>
          </w:tcPr>
          <w:p w14:paraId="0B4C10A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0429E05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131" w:type="dxa"/>
          </w:tcPr>
          <w:p w14:paraId="07E947A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bl>
    <w:p w14:paraId="6129E91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lang w:val="en-US" w:eastAsia="zh-CN"/>
        </w:rPr>
      </w:pPr>
    </w:p>
    <w:p w14:paraId="4DF1B1C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备注</w:t>
      </w:r>
      <w:r>
        <w:rPr>
          <w:rFonts w:hint="default" w:ascii="仿宋" w:hAnsi="仿宋" w:eastAsia="仿宋" w:cs="仿宋"/>
          <w:color w:val="auto"/>
          <w:sz w:val="32"/>
          <w:szCs w:val="32"/>
          <w:highlight w:val="none"/>
          <w:lang w:val="en-US" w:eastAsia="zh-CN"/>
        </w:rPr>
        <w:t>：请供应商根据响应文件的编排情况</w:t>
      </w:r>
      <w:r>
        <w:rPr>
          <w:rFonts w:hint="eastAsia" w:ascii="仿宋" w:hAnsi="仿宋" w:eastAsia="仿宋" w:cs="仿宋"/>
          <w:color w:val="auto"/>
          <w:sz w:val="32"/>
          <w:szCs w:val="32"/>
          <w:highlight w:val="none"/>
          <w:lang w:val="en-US" w:eastAsia="zh-CN"/>
        </w:rPr>
        <w:t>详细</w:t>
      </w:r>
      <w:r>
        <w:rPr>
          <w:rFonts w:hint="default" w:ascii="仿宋" w:hAnsi="仿宋" w:eastAsia="仿宋" w:cs="仿宋"/>
          <w:color w:val="auto"/>
          <w:sz w:val="32"/>
          <w:szCs w:val="32"/>
          <w:highlight w:val="none"/>
          <w:lang w:val="en-US" w:eastAsia="zh-CN"/>
        </w:rPr>
        <w:t>填写。</w:t>
      </w:r>
    </w:p>
    <w:p w14:paraId="19D9183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highlight w:val="none"/>
          <w:lang w:val="en-US" w:eastAsia="zh-CN"/>
        </w:rPr>
      </w:pPr>
    </w:p>
    <w:p w14:paraId="657EEA48">
      <w:pPr>
        <w:keepNext w:val="0"/>
        <w:keepLines w:val="0"/>
        <w:pageBreakBefore w:val="0"/>
        <w:widowControl w:val="0"/>
        <w:numPr>
          <w:ilvl w:val="0"/>
          <w:numId w:val="0"/>
        </w:numPr>
        <w:shd w:val="clear"/>
        <w:kinsoku/>
        <w:wordWrap/>
        <w:overflowPunct/>
        <w:topLinePunct w:val="0"/>
        <w:autoSpaceDE/>
        <w:autoSpaceDN/>
        <w:bidi w:val="0"/>
        <w:adjustRightInd/>
        <w:snapToGrid/>
        <w:spacing w:line="520" w:lineRule="exact"/>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附件2</w:t>
      </w:r>
    </w:p>
    <w:p w14:paraId="5B1C7025">
      <w:pPr>
        <w:keepNext w:val="0"/>
        <w:keepLines w:val="0"/>
        <w:pageBreakBefore w:val="0"/>
        <w:widowControl w:val="0"/>
        <w:shd w:val="clear"/>
        <w:kinsoku/>
        <w:wordWrap/>
        <w:overflowPunct/>
        <w:topLinePunct w:val="0"/>
        <w:autoSpaceDE/>
        <w:autoSpaceDN/>
        <w:bidi w:val="0"/>
        <w:adjustRightInd/>
        <w:snapToGrid/>
        <w:spacing w:line="520" w:lineRule="exact"/>
        <w:ind w:firstLine="3534" w:firstLineChars="800"/>
        <w:jc w:val="both"/>
        <w:textAlignment w:val="auto"/>
        <w:rPr>
          <w:rFonts w:hint="eastAsia" w:ascii="仿宋" w:hAnsi="仿宋" w:eastAsia="仿宋" w:cs="仿宋"/>
          <w:color w:val="auto"/>
          <w:sz w:val="32"/>
          <w:szCs w:val="32"/>
          <w:highlight w:val="none"/>
          <w:lang w:val="en-US" w:eastAsia="zh-CN"/>
        </w:rPr>
      </w:pPr>
      <w:r>
        <w:rPr>
          <w:rFonts w:hint="eastAsia" w:ascii="宋体" w:hAnsi="宋体" w:eastAsia="宋体" w:cs="宋体"/>
          <w:b/>
          <w:bCs w:val="0"/>
          <w:color w:val="auto"/>
          <w:sz w:val="44"/>
          <w:szCs w:val="44"/>
          <w:highlight w:val="none"/>
          <w:lang w:val="en-US" w:eastAsia="zh-CN"/>
        </w:rPr>
        <w:t>响 应 函</w:t>
      </w:r>
    </w:p>
    <w:p w14:paraId="1D2F8764">
      <w:pPr>
        <w:keepNext w:val="0"/>
        <w:keepLines w:val="0"/>
        <w:pageBreakBefore w:val="0"/>
        <w:widowControl w:val="0"/>
        <w:numPr>
          <w:ilvl w:val="0"/>
          <w:numId w:val="0"/>
        </w:numPr>
        <w:shd w:val="clear"/>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致：深圳出版社有限责任公司</w:t>
      </w:r>
    </w:p>
    <w:p w14:paraId="4A439C98">
      <w:pPr>
        <w:keepNext w:val="0"/>
        <w:keepLines w:val="0"/>
        <w:pageBreakBefore w:val="0"/>
        <w:widowControl w:val="0"/>
        <w:shd w:val="clea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1.我方已仔细研究了深圳出版社有限责任公司2年常年法律顾问服务项目的采购</w:t>
      </w:r>
      <w:r>
        <w:rPr>
          <w:rFonts w:hint="eastAsia" w:ascii="仿宋_GB2312" w:hAnsi="仿宋_GB2312" w:cs="仿宋_GB2312"/>
          <w:color w:val="auto"/>
          <w:sz w:val="32"/>
          <w:szCs w:val="32"/>
          <w:highlight w:val="none"/>
          <w:lang w:val="en-US" w:eastAsia="zh-CN"/>
        </w:rPr>
        <w:t>文件</w:t>
      </w:r>
      <w:r>
        <w:rPr>
          <w:rFonts w:hint="eastAsia" w:ascii="仿宋_GB2312" w:hAnsi="仿宋_GB2312" w:eastAsia="仿宋_GB2312" w:cs="仿宋_GB2312"/>
          <w:color w:val="auto"/>
          <w:sz w:val="32"/>
          <w:szCs w:val="32"/>
          <w:highlight w:val="none"/>
          <w:lang w:val="en-US" w:eastAsia="zh-CN"/>
        </w:rPr>
        <w:t>全部内容，愿意以响应文件中的报价提供本项目服务。</w:t>
      </w:r>
    </w:p>
    <w:p w14:paraId="5F642428">
      <w:pPr>
        <w:keepNext w:val="0"/>
        <w:keepLines w:val="0"/>
        <w:pageBreakBefore w:val="0"/>
        <w:widowControl w:val="0"/>
        <w:numPr>
          <w:ilvl w:val="0"/>
          <w:numId w:val="0"/>
        </w:numPr>
        <w:shd w:val="clea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2.如我方成交，我方承诺：</w:t>
      </w:r>
    </w:p>
    <w:p w14:paraId="56FF792A">
      <w:pPr>
        <w:keepNext w:val="0"/>
        <w:keepLines w:val="0"/>
        <w:pageBreakBefore w:val="0"/>
        <w:widowControl w:val="0"/>
        <w:numPr>
          <w:ilvl w:val="0"/>
          <w:numId w:val="0"/>
        </w:numPr>
        <w:shd w:val="clea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（1）在收到成交通知书后，在成交通知书规定的期限内与你方签订合同。并派出1名符合本项目采购要求的主办律师</w:t>
      </w:r>
      <w:r>
        <w:rPr>
          <w:rFonts w:hint="eastAsia" w:ascii="仿宋_GB2312" w:hAnsi="仿宋_GB2312" w:cs="仿宋_GB2312"/>
          <w:color w:val="auto"/>
          <w:sz w:val="32"/>
          <w:szCs w:val="32"/>
          <w:highlight w:val="none"/>
          <w:lang w:val="en-US" w:eastAsia="zh-CN"/>
        </w:rPr>
        <w:t>提供服务，同时</w:t>
      </w:r>
      <w:r>
        <w:rPr>
          <w:rFonts w:hint="eastAsia" w:ascii="仿宋_GB2312" w:hAnsi="仿宋_GB2312" w:eastAsia="仿宋_GB2312" w:cs="仿宋_GB2312"/>
          <w:color w:val="auto"/>
          <w:sz w:val="32"/>
          <w:szCs w:val="32"/>
          <w:highlight w:val="none"/>
          <w:lang w:val="en-US" w:eastAsia="zh-CN"/>
        </w:rPr>
        <w:t>派出1名符合本项目采购要求的</w:t>
      </w:r>
      <w:r>
        <w:rPr>
          <w:rFonts w:hint="eastAsia" w:ascii="仿宋_GB2312" w:hAnsi="仿宋_GB2312" w:cs="仿宋_GB2312"/>
          <w:color w:val="auto"/>
          <w:sz w:val="32"/>
          <w:szCs w:val="32"/>
          <w:highlight w:val="none"/>
          <w:lang w:val="en-US" w:eastAsia="zh-CN"/>
        </w:rPr>
        <w:t>驻点</w:t>
      </w:r>
      <w:r>
        <w:rPr>
          <w:rFonts w:hint="eastAsia" w:ascii="仿宋_GB2312" w:hAnsi="仿宋_GB2312" w:eastAsia="仿宋_GB2312" w:cs="仿宋_GB2312"/>
          <w:color w:val="auto"/>
          <w:sz w:val="32"/>
          <w:szCs w:val="32"/>
          <w:highlight w:val="none"/>
          <w:lang w:val="en-US" w:eastAsia="zh-CN"/>
        </w:rPr>
        <w:t>律师驻点2年提供服务。</w:t>
      </w:r>
    </w:p>
    <w:p w14:paraId="192F0804">
      <w:pPr>
        <w:keepNext w:val="0"/>
        <w:keepLines w:val="0"/>
        <w:pageBreakBefore w:val="0"/>
        <w:widowControl w:val="0"/>
        <w:numPr>
          <w:ilvl w:val="0"/>
          <w:numId w:val="0"/>
        </w:numPr>
        <w:shd w:val="clea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（2）在合同约定的期限内完成合同约定的全部义务。</w:t>
      </w:r>
    </w:p>
    <w:p w14:paraId="2C70591A">
      <w:pPr>
        <w:keepNext w:val="0"/>
        <w:keepLines w:val="0"/>
        <w:pageBreakBefore w:val="0"/>
        <w:widowControl w:val="0"/>
        <w:numPr>
          <w:ilvl w:val="0"/>
          <w:numId w:val="0"/>
        </w:numPr>
        <w:shd w:val="clea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3.我方承诺，所递交的响应文件及有关资料的全部内容真实有效，并承担由于提供虚假材料而产生的一切后果。我方愿意提供采购人可能另外要求的、与采购有关的文件资料。</w:t>
      </w:r>
    </w:p>
    <w:p w14:paraId="250035B3">
      <w:pPr>
        <w:keepNext w:val="0"/>
        <w:keepLines w:val="0"/>
        <w:pageBreakBefore w:val="0"/>
        <w:widowControl w:val="0"/>
        <w:numPr>
          <w:ilvl w:val="0"/>
          <w:numId w:val="0"/>
        </w:numPr>
        <w:shd w:val="clea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4.我方承诺</w:t>
      </w:r>
      <w:r>
        <w:rPr>
          <w:rFonts w:hint="eastAsia" w:ascii="仿宋_GB2312" w:hAnsi="仿宋_GB2312" w:eastAsia="仿宋_GB2312" w:cs="仿宋_GB2312"/>
          <w:color w:val="auto"/>
          <w:sz w:val="32"/>
          <w:szCs w:val="32"/>
          <w:highlight w:val="none"/>
          <w:lang w:val="en-US" w:eastAsia="zh-CN"/>
        </w:rPr>
        <w:t>不</w:t>
      </w:r>
      <w:r>
        <w:rPr>
          <w:rFonts w:hint="eastAsia" w:ascii="仿宋_GB2312" w:hAnsi="仿宋_GB2312" w:cs="仿宋_GB2312"/>
          <w:color w:val="auto"/>
          <w:sz w:val="32"/>
          <w:szCs w:val="32"/>
          <w:highlight w:val="none"/>
          <w:lang w:val="en-US" w:eastAsia="zh-CN"/>
        </w:rPr>
        <w:t>存在</w:t>
      </w:r>
      <w:r>
        <w:rPr>
          <w:rFonts w:hint="eastAsia" w:ascii="仿宋_GB2312" w:hAnsi="仿宋_GB2312" w:eastAsia="仿宋_GB2312" w:cs="仿宋_GB2312"/>
          <w:color w:val="auto"/>
          <w:sz w:val="32"/>
          <w:szCs w:val="32"/>
          <w:highlight w:val="none"/>
          <w:lang w:val="en-US" w:eastAsia="zh-CN"/>
        </w:rPr>
        <w:t>联合体响应，不</w:t>
      </w:r>
      <w:r>
        <w:rPr>
          <w:rFonts w:hint="eastAsia" w:ascii="仿宋_GB2312" w:hAnsi="仿宋_GB2312" w:cs="仿宋_GB2312"/>
          <w:color w:val="auto"/>
          <w:sz w:val="32"/>
          <w:szCs w:val="32"/>
          <w:highlight w:val="none"/>
          <w:lang w:val="en-US" w:eastAsia="zh-CN"/>
        </w:rPr>
        <w:t>存在</w:t>
      </w:r>
      <w:r>
        <w:rPr>
          <w:rFonts w:hint="eastAsia" w:ascii="仿宋_GB2312" w:hAnsi="仿宋_GB2312" w:eastAsia="仿宋_GB2312" w:cs="仿宋_GB2312"/>
          <w:color w:val="auto"/>
          <w:sz w:val="32"/>
          <w:szCs w:val="32"/>
          <w:highlight w:val="none"/>
          <w:lang w:val="en-US" w:eastAsia="zh-CN"/>
        </w:rPr>
        <w:t>个人响应</w:t>
      </w:r>
      <w:r>
        <w:rPr>
          <w:rFonts w:hint="eastAsia" w:ascii="仿宋_GB2312" w:hAnsi="仿宋_GB2312" w:cs="仿宋_GB2312"/>
          <w:color w:val="auto"/>
          <w:sz w:val="32"/>
          <w:szCs w:val="32"/>
          <w:highlight w:val="none"/>
          <w:lang w:val="en-US" w:eastAsia="zh-CN"/>
        </w:rPr>
        <w:t>，不存在转包和分包等与采购文件资格要求不一致的情况，我方承诺</w:t>
      </w:r>
      <w:r>
        <w:rPr>
          <w:rFonts w:hint="eastAsia" w:ascii="仿宋_GB2312" w:hAnsi="仿宋_GB2312" w:eastAsia="仿宋_GB2312" w:cs="仿宋_GB2312"/>
          <w:color w:val="auto"/>
          <w:sz w:val="32"/>
          <w:szCs w:val="32"/>
          <w:highlight w:val="none"/>
          <w:lang w:val="en-US" w:eastAsia="zh-CN"/>
        </w:rPr>
        <w:t>没有被列入“信用中国”网站的“严重失信主体名单”的情况</w:t>
      </w:r>
      <w:r>
        <w:rPr>
          <w:rFonts w:hint="eastAsia" w:ascii="仿宋_GB2312" w:hAnsi="仿宋_GB2312" w:cs="仿宋_GB2312"/>
          <w:color w:val="auto"/>
          <w:sz w:val="32"/>
          <w:szCs w:val="32"/>
          <w:highlight w:val="none"/>
          <w:lang w:val="en-US" w:eastAsia="zh-CN"/>
        </w:rPr>
        <w:t>。</w:t>
      </w:r>
    </w:p>
    <w:p w14:paraId="0304CC2F">
      <w:pPr>
        <w:keepNext w:val="0"/>
        <w:keepLines w:val="0"/>
        <w:pageBreakBefore w:val="0"/>
        <w:widowControl w:val="0"/>
        <w:numPr>
          <w:ilvl w:val="0"/>
          <w:numId w:val="0"/>
        </w:numPr>
        <w:shd w:val="clear"/>
        <w:kinsoku/>
        <w:wordWrap/>
        <w:overflowPunct/>
        <w:topLinePunct w:val="0"/>
        <w:autoSpaceDE/>
        <w:autoSpaceDN/>
        <w:bidi w:val="0"/>
        <w:adjustRightInd/>
        <w:snapToGrid/>
        <w:spacing w:line="520" w:lineRule="exact"/>
        <w:ind w:firstLine="640" w:firstLineChars="200"/>
        <w:jc w:val="both"/>
        <w:textAlignment w:val="auto"/>
        <w:rPr>
          <w:rFonts w:hint="default" w:ascii="仿宋" w:hAnsi="仿宋" w:eastAsia="仿宋" w:cs="仿宋"/>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5.我方承诺近三年（2023年5月1日至响应截止日）律师事务所及拟提供服务主办律师、驻点律师</w:t>
      </w:r>
      <w:r>
        <w:rPr>
          <w:rFonts w:hint="eastAsia" w:ascii="仿宋" w:hAnsi="仿宋" w:eastAsia="仿宋" w:cs="仿宋"/>
          <w:color w:val="auto"/>
          <w:sz w:val="32"/>
          <w:szCs w:val="32"/>
          <w:highlight w:val="none"/>
          <w:lang w:val="en-US" w:eastAsia="zh-CN"/>
        </w:rPr>
        <w:t>无司法行政部门、律师协会惩戒记录和不良执业记录。</w:t>
      </w:r>
    </w:p>
    <w:p w14:paraId="7727A373">
      <w:pPr>
        <w:keepNext w:val="0"/>
        <w:keepLines w:val="0"/>
        <w:pageBreakBefore w:val="0"/>
        <w:widowControl w:val="0"/>
        <w:numPr>
          <w:ilvl w:val="0"/>
          <w:numId w:val="0"/>
        </w:numPr>
        <w:shd w:val="clea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供 应 商(公章)：</w:t>
      </w:r>
    </w:p>
    <w:p w14:paraId="1879C0AE">
      <w:pPr>
        <w:keepNext w:val="0"/>
        <w:keepLines w:val="0"/>
        <w:pageBreakBefore w:val="0"/>
        <w:widowControl w:val="0"/>
        <w:numPr>
          <w:ilvl w:val="0"/>
          <w:numId w:val="0"/>
        </w:numPr>
        <w:shd w:val="clea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代 表 (签名)：</w:t>
      </w:r>
    </w:p>
    <w:p w14:paraId="4A9DEC62">
      <w:pPr>
        <w:keepNext w:val="0"/>
        <w:keepLines w:val="0"/>
        <w:pageBreakBefore w:val="0"/>
        <w:widowControl w:val="0"/>
        <w:numPr>
          <w:ilvl w:val="0"/>
          <w:numId w:val="0"/>
        </w:numPr>
        <w:shd w:val="clear"/>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日 期：</w:t>
      </w:r>
    </w:p>
    <w:p w14:paraId="3C5983E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highlight w:val="none"/>
          <w:lang w:val="en-US" w:eastAsia="zh-CN"/>
        </w:rPr>
      </w:pPr>
    </w:p>
    <w:p w14:paraId="7D55A53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附件3</w:t>
      </w:r>
    </w:p>
    <w:p w14:paraId="0694D7BF">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highlight w:val="none"/>
          <w:lang w:val="en-US" w:eastAsia="zh-CN"/>
        </w:rPr>
      </w:pPr>
    </w:p>
    <w:p w14:paraId="0C7DB5EF">
      <w:pPr>
        <w:shd w:val="clear"/>
        <w:spacing w:line="560" w:lineRule="exact"/>
        <w:ind w:firstLine="883" w:firstLineChars="200"/>
        <w:jc w:val="center"/>
        <w:rPr>
          <w:rFonts w:hint="eastAsia" w:ascii="宋体" w:hAnsi="宋体" w:eastAsia="宋体" w:cs="宋体"/>
          <w:b/>
          <w:bCs w:val="0"/>
          <w:color w:val="auto"/>
          <w:sz w:val="44"/>
          <w:szCs w:val="44"/>
          <w:highlight w:val="none"/>
          <w:lang w:val="en-US" w:eastAsia="zh-CN"/>
        </w:rPr>
      </w:pPr>
      <w:r>
        <w:rPr>
          <w:rFonts w:hint="eastAsia" w:ascii="宋体" w:hAnsi="宋体" w:eastAsia="宋体" w:cs="宋体"/>
          <w:b/>
          <w:bCs w:val="0"/>
          <w:color w:val="auto"/>
          <w:sz w:val="44"/>
          <w:szCs w:val="44"/>
          <w:highlight w:val="none"/>
          <w:lang w:val="en-US" w:eastAsia="zh-CN"/>
        </w:rPr>
        <w:t>负责人身份证明书</w:t>
      </w:r>
    </w:p>
    <w:p w14:paraId="3E8DA4D8">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lang w:val="en-US" w:eastAsia="zh-CN"/>
        </w:rPr>
      </w:pPr>
    </w:p>
    <w:p w14:paraId="09F03AB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单位名称：</w:t>
      </w:r>
    </w:p>
    <w:p w14:paraId="2D10733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地 址：</w:t>
      </w:r>
    </w:p>
    <w:p w14:paraId="0E2FBD4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负责人姓名：                     </w:t>
      </w:r>
    </w:p>
    <w:p w14:paraId="3B82CA8F">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职</w:t>
      </w:r>
      <w:r>
        <w:rPr>
          <w:rFonts w:hint="eastAsia" w:ascii="仿宋_GB2312" w:hAnsi="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务：</w:t>
      </w:r>
    </w:p>
    <w:p w14:paraId="11DA8A3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身份证号码：</w:t>
      </w:r>
    </w:p>
    <w:p w14:paraId="2861A229">
      <w:pPr>
        <w:shd w:val="clear"/>
        <w:spacing w:line="700" w:lineRule="exact"/>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本证明书仅用于本单位签署深圳出版社有限责任公司2年常年法律顾问服务项目的响应文件、签订合同和处理与之有关的一切事务。</w:t>
      </w:r>
    </w:p>
    <w:p w14:paraId="477D951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特此证明。</w:t>
      </w:r>
    </w:p>
    <w:p w14:paraId="3EF0647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p>
    <w:p w14:paraId="4128781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p>
    <w:p w14:paraId="2EAD729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5440" w:firstLineChars="17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供应商(公章)：</w:t>
      </w:r>
    </w:p>
    <w:p w14:paraId="3CF2D3F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日 期：</w:t>
      </w:r>
    </w:p>
    <w:p w14:paraId="02F1DFA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both"/>
        <w:textAlignment w:val="auto"/>
        <w:rPr>
          <w:rFonts w:hint="default" w:ascii="仿宋" w:hAnsi="仿宋" w:eastAsia="仿宋" w:cs="仿宋"/>
          <w:color w:val="auto"/>
          <w:sz w:val="32"/>
          <w:szCs w:val="32"/>
          <w:highlight w:val="none"/>
          <w:lang w:val="en-US" w:eastAsia="zh-CN"/>
        </w:rPr>
      </w:pPr>
    </w:p>
    <w:p w14:paraId="6F7B498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附件</w:t>
      </w:r>
      <w:r>
        <w:rPr>
          <w:rFonts w:hint="default" w:ascii="仿宋" w:hAnsi="仿宋" w:eastAsia="仿宋" w:cs="仿宋"/>
          <w:b/>
          <w:bCs/>
          <w:color w:val="auto"/>
          <w:sz w:val="32"/>
          <w:szCs w:val="32"/>
          <w:highlight w:val="none"/>
          <w:lang w:val="en-US" w:eastAsia="zh-CN"/>
        </w:rPr>
        <w:t>：负责人身份证复印件（正反面）。</w:t>
      </w:r>
    </w:p>
    <w:p w14:paraId="4D38F1D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both"/>
        <w:textAlignment w:val="auto"/>
        <w:rPr>
          <w:rFonts w:hint="default" w:ascii="仿宋" w:hAnsi="仿宋" w:eastAsia="仿宋" w:cs="仿宋"/>
          <w:color w:val="auto"/>
          <w:sz w:val="32"/>
          <w:szCs w:val="32"/>
          <w:highlight w:val="none"/>
          <w:lang w:val="en-US" w:eastAsia="zh-CN"/>
        </w:rPr>
      </w:pPr>
    </w:p>
    <w:p w14:paraId="1CDF657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both"/>
        <w:textAlignment w:val="auto"/>
        <w:rPr>
          <w:rFonts w:hint="default" w:ascii="仿宋" w:hAnsi="仿宋" w:eastAsia="仿宋" w:cs="仿宋"/>
          <w:color w:val="auto"/>
          <w:sz w:val="32"/>
          <w:szCs w:val="32"/>
          <w:highlight w:val="none"/>
          <w:lang w:val="en-US" w:eastAsia="zh-CN"/>
        </w:rPr>
      </w:pPr>
    </w:p>
    <w:p w14:paraId="4ECD72B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both"/>
        <w:textAlignment w:val="auto"/>
        <w:rPr>
          <w:rFonts w:hint="default" w:ascii="仿宋" w:hAnsi="仿宋" w:eastAsia="仿宋" w:cs="仿宋"/>
          <w:color w:val="auto"/>
          <w:sz w:val="32"/>
          <w:szCs w:val="32"/>
          <w:highlight w:val="none"/>
          <w:lang w:val="en-US" w:eastAsia="zh-CN"/>
        </w:rPr>
      </w:pPr>
    </w:p>
    <w:p w14:paraId="5C4B346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both"/>
        <w:textAlignment w:val="auto"/>
        <w:rPr>
          <w:rFonts w:hint="default" w:ascii="仿宋" w:hAnsi="仿宋" w:eastAsia="仿宋" w:cs="仿宋"/>
          <w:color w:val="auto"/>
          <w:sz w:val="32"/>
          <w:szCs w:val="32"/>
          <w:highlight w:val="none"/>
          <w:lang w:val="en-US" w:eastAsia="zh-CN"/>
        </w:rPr>
      </w:pPr>
    </w:p>
    <w:p w14:paraId="33BC95F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lang w:val="en-US" w:eastAsia="zh-CN"/>
        </w:rPr>
      </w:pPr>
    </w:p>
    <w:p w14:paraId="12A130F8">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附件4</w:t>
      </w:r>
    </w:p>
    <w:p w14:paraId="04F1F8D0">
      <w:pPr>
        <w:shd w:val="clear"/>
        <w:spacing w:line="560" w:lineRule="exact"/>
        <w:ind w:firstLine="883" w:firstLineChars="200"/>
        <w:jc w:val="center"/>
        <w:rPr>
          <w:rFonts w:hint="eastAsia" w:ascii="宋体" w:hAnsi="宋体" w:eastAsia="宋体" w:cs="宋体"/>
          <w:b/>
          <w:bCs w:val="0"/>
          <w:color w:val="auto"/>
          <w:sz w:val="44"/>
          <w:szCs w:val="44"/>
          <w:highlight w:val="none"/>
          <w:lang w:val="en-US" w:eastAsia="zh-CN"/>
        </w:rPr>
      </w:pPr>
      <w:r>
        <w:rPr>
          <w:rFonts w:hint="eastAsia" w:ascii="宋体" w:hAnsi="宋体" w:eastAsia="宋体" w:cs="宋体"/>
          <w:b/>
          <w:bCs w:val="0"/>
          <w:color w:val="auto"/>
          <w:sz w:val="44"/>
          <w:szCs w:val="44"/>
          <w:highlight w:val="none"/>
          <w:lang w:val="en-US" w:eastAsia="zh-CN"/>
        </w:rPr>
        <w:t>负责人授权委托书</w:t>
      </w:r>
    </w:p>
    <w:p w14:paraId="2002CBB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1600" w:firstLineChars="500"/>
        <w:jc w:val="both"/>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（适用于有委托代理人的情况）</w:t>
      </w:r>
    </w:p>
    <w:p w14:paraId="7242861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color w:val="auto"/>
          <w:sz w:val="32"/>
          <w:szCs w:val="32"/>
          <w:highlight w:val="none"/>
          <w:lang w:val="en-US" w:eastAsia="zh-CN"/>
        </w:rPr>
      </w:pPr>
    </w:p>
    <w:p w14:paraId="5EAA424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lang w:val="en-US" w:eastAsia="zh-CN"/>
        </w:rPr>
        <w:t>本人</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lang w:val="en-US" w:eastAsia="zh-CN"/>
        </w:rPr>
        <w:t>（负责人姓名），身份证号码：</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lang w:val="en-US" w:eastAsia="zh-CN"/>
        </w:rPr>
        <w:t>，系</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lang w:val="en-US" w:eastAsia="zh-CN"/>
        </w:rPr>
        <w:t>（供应商名称）的负责人，现授权委托</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u w:val="none"/>
          <w:lang w:val="en-US" w:eastAsia="zh-CN"/>
        </w:rPr>
        <w:t xml:space="preserve">                       </w:t>
      </w:r>
    </w:p>
    <w:p w14:paraId="3188986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u w:val="none"/>
          <w:lang w:val="en-US" w:eastAsia="zh-CN"/>
        </w:rPr>
        <w:t>（姓名）</w:t>
      </w:r>
      <w:r>
        <w:rPr>
          <w:rFonts w:hint="eastAsia" w:ascii="仿宋_GB2312" w:hAnsi="仿宋_GB2312" w:eastAsia="仿宋_GB2312" w:cs="仿宋_GB2312"/>
          <w:color w:val="auto"/>
          <w:sz w:val="32"/>
          <w:szCs w:val="32"/>
          <w:highlight w:val="none"/>
          <w:lang w:val="en-US" w:eastAsia="zh-CN"/>
        </w:rPr>
        <w:t>身份证号码：</w:t>
      </w:r>
      <w:r>
        <w:rPr>
          <w:rFonts w:hint="eastAsia" w:ascii="仿宋_GB2312" w:hAnsi="仿宋_GB2312" w:eastAsia="仿宋_GB2312" w:cs="仿宋_GB2312"/>
          <w:color w:val="auto"/>
          <w:sz w:val="32"/>
          <w:szCs w:val="32"/>
          <w:highlight w:val="none"/>
          <w:u w:val="single"/>
          <w:lang w:val="en-US" w:eastAsia="zh-CN"/>
        </w:rPr>
        <w:t xml:space="preserve">           </w:t>
      </w:r>
      <w:r>
        <w:rPr>
          <w:rFonts w:hint="eastAsia" w:ascii="仿宋_GB2312" w:hAnsi="仿宋_GB2312" w:eastAsia="仿宋_GB2312" w:cs="仿宋_GB2312"/>
          <w:color w:val="auto"/>
          <w:sz w:val="32"/>
          <w:szCs w:val="32"/>
          <w:highlight w:val="none"/>
          <w:lang w:val="en-US" w:eastAsia="zh-CN"/>
        </w:rPr>
        <w:t xml:space="preserve"> 为我方代理人。代理人根据授权，以我方名义签署、澄清确认、递交、撤回、修改</w:t>
      </w:r>
    </w:p>
    <w:p w14:paraId="2643C62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深圳出版社有限责任公司2年常年法律顾问服务项目的响应文件、签订合同和处理有关事宜，其法律后果由我方承担。</w:t>
      </w:r>
    </w:p>
    <w:p w14:paraId="569BA24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委托期限：自本委托书签署之日起至深圳出版社有限责任公司</w:t>
      </w:r>
      <w:r>
        <w:rPr>
          <w:rFonts w:hint="eastAsia" w:ascii="仿宋_GB2312" w:hAnsi="仿宋_GB2312" w:cs="仿宋_GB2312"/>
          <w:color w:val="auto"/>
          <w:sz w:val="32"/>
          <w:szCs w:val="32"/>
          <w:highlight w:val="none"/>
          <w:lang w:val="en-US" w:eastAsia="zh-CN"/>
        </w:rPr>
        <w:t>2年</w:t>
      </w:r>
      <w:r>
        <w:rPr>
          <w:rFonts w:hint="eastAsia" w:ascii="仿宋_GB2312" w:hAnsi="仿宋_GB2312" w:eastAsia="仿宋_GB2312" w:cs="仿宋_GB2312"/>
          <w:color w:val="auto"/>
          <w:sz w:val="32"/>
          <w:szCs w:val="32"/>
          <w:highlight w:val="none"/>
          <w:lang w:val="en-US" w:eastAsia="zh-CN"/>
        </w:rPr>
        <w:t>常年法律顾问服务项目签订采购合同之日止。</w:t>
      </w:r>
    </w:p>
    <w:p w14:paraId="3F5EDC68">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代理人无转委托权。</w:t>
      </w:r>
    </w:p>
    <w:p w14:paraId="36EEF42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both"/>
        <w:textAlignment w:val="auto"/>
        <w:rPr>
          <w:rFonts w:hint="eastAsia" w:ascii="仿宋_GB2312" w:hAnsi="仿宋_GB2312" w:eastAsia="仿宋_GB2312" w:cs="仿宋_GB2312"/>
          <w:color w:val="auto"/>
          <w:sz w:val="32"/>
          <w:szCs w:val="32"/>
          <w:highlight w:val="none"/>
          <w:lang w:val="en-US" w:eastAsia="zh-CN"/>
        </w:rPr>
      </w:pPr>
    </w:p>
    <w:p w14:paraId="0B60273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both"/>
        <w:textAlignment w:val="auto"/>
        <w:rPr>
          <w:rFonts w:hint="eastAsia" w:ascii="仿宋_GB2312" w:hAnsi="仿宋_GB2312" w:eastAsia="仿宋_GB2312" w:cs="仿宋_GB2312"/>
          <w:color w:val="auto"/>
          <w:sz w:val="32"/>
          <w:szCs w:val="32"/>
          <w:highlight w:val="none"/>
          <w:lang w:val="en-US" w:eastAsia="zh-CN"/>
        </w:rPr>
      </w:pPr>
    </w:p>
    <w:p w14:paraId="5928E2F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center"/>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供 应 商（公章）：</w:t>
      </w:r>
    </w:p>
    <w:p w14:paraId="387AA92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center"/>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负 责 人（签名）：</w:t>
      </w:r>
    </w:p>
    <w:p w14:paraId="5B9C430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center"/>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 xml:space="preserve">日 </w:t>
      </w:r>
      <w:r>
        <w:rPr>
          <w:rFonts w:hint="eastAsia" w:ascii="仿宋_GB2312" w:hAnsi="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期：</w:t>
      </w:r>
    </w:p>
    <w:p w14:paraId="30C1FEB6">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center"/>
        <w:textAlignment w:val="auto"/>
        <w:rPr>
          <w:rFonts w:hint="eastAsia" w:ascii="仿宋_GB2312" w:hAnsi="仿宋_GB2312" w:eastAsia="仿宋_GB2312" w:cs="仿宋_GB2312"/>
          <w:color w:val="auto"/>
          <w:sz w:val="32"/>
          <w:szCs w:val="32"/>
          <w:highlight w:val="none"/>
          <w:lang w:val="en-US" w:eastAsia="zh-CN"/>
        </w:rPr>
      </w:pPr>
    </w:p>
    <w:p w14:paraId="08082D3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cs="仿宋_GB2312"/>
          <w:b/>
          <w:bCs/>
          <w:color w:val="auto"/>
          <w:sz w:val="32"/>
          <w:szCs w:val="32"/>
          <w:highlight w:val="none"/>
          <w:lang w:val="en-US" w:eastAsia="zh-CN"/>
        </w:rPr>
        <w:t>附件</w:t>
      </w:r>
      <w:r>
        <w:rPr>
          <w:rFonts w:hint="eastAsia" w:ascii="仿宋_GB2312" w:hAnsi="仿宋_GB2312" w:eastAsia="仿宋_GB2312" w:cs="仿宋_GB2312"/>
          <w:b/>
          <w:bCs/>
          <w:color w:val="auto"/>
          <w:sz w:val="32"/>
          <w:szCs w:val="32"/>
          <w:highlight w:val="none"/>
          <w:lang w:val="en-US" w:eastAsia="zh-CN"/>
        </w:rPr>
        <w:t>：委托代理人身份证复印件（正反面）。</w:t>
      </w:r>
    </w:p>
    <w:p w14:paraId="789B585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both"/>
        <w:textAlignment w:val="auto"/>
        <w:rPr>
          <w:rFonts w:hint="default" w:ascii="仿宋" w:hAnsi="仿宋" w:eastAsia="仿宋" w:cs="仿宋"/>
          <w:color w:val="auto"/>
          <w:sz w:val="32"/>
          <w:szCs w:val="32"/>
          <w:highlight w:val="none"/>
          <w:lang w:val="en-US" w:eastAsia="zh-CN"/>
        </w:rPr>
      </w:pPr>
    </w:p>
    <w:p w14:paraId="144DC15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both"/>
        <w:textAlignment w:val="auto"/>
        <w:rPr>
          <w:rFonts w:hint="default" w:ascii="仿宋" w:hAnsi="仿宋" w:eastAsia="仿宋" w:cs="仿宋"/>
          <w:color w:val="auto"/>
          <w:sz w:val="32"/>
          <w:szCs w:val="32"/>
          <w:highlight w:val="none"/>
          <w:lang w:val="en-US" w:eastAsia="zh-CN"/>
        </w:rPr>
      </w:pPr>
    </w:p>
    <w:p w14:paraId="7E831DB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both"/>
        <w:textAlignment w:val="auto"/>
        <w:rPr>
          <w:rFonts w:hint="default" w:ascii="仿宋" w:hAnsi="仿宋" w:eastAsia="仿宋" w:cs="仿宋"/>
          <w:color w:val="auto"/>
          <w:sz w:val="32"/>
          <w:szCs w:val="32"/>
          <w:highlight w:val="none"/>
          <w:lang w:val="en-US" w:eastAsia="zh-CN"/>
        </w:rPr>
      </w:pPr>
    </w:p>
    <w:p w14:paraId="7E39F216">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both"/>
        <w:textAlignment w:val="auto"/>
        <w:rPr>
          <w:rFonts w:hint="default" w:ascii="仿宋" w:hAnsi="仿宋" w:eastAsia="仿宋" w:cs="仿宋"/>
          <w:color w:val="auto"/>
          <w:sz w:val="32"/>
          <w:szCs w:val="32"/>
          <w:highlight w:val="none"/>
          <w:lang w:val="en-US" w:eastAsia="zh-CN"/>
        </w:rPr>
      </w:pPr>
    </w:p>
    <w:p w14:paraId="50B8BA0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附件5</w:t>
      </w:r>
    </w:p>
    <w:p w14:paraId="08F8ED75">
      <w:pPr>
        <w:shd w:val="clear"/>
        <w:spacing w:line="560" w:lineRule="exact"/>
        <w:ind w:left="0" w:leftChars="0" w:firstLine="0" w:firstLineChars="0"/>
        <w:jc w:val="both"/>
        <w:rPr>
          <w:rFonts w:hint="eastAsia" w:ascii="宋体" w:hAnsi="宋体" w:eastAsia="宋体" w:cs="宋体"/>
          <w:b/>
          <w:bCs w:val="0"/>
          <w:color w:val="auto"/>
          <w:sz w:val="44"/>
          <w:szCs w:val="44"/>
          <w:highlight w:val="none"/>
          <w:lang w:val="en-US" w:eastAsia="zh-CN"/>
        </w:rPr>
      </w:pPr>
      <w:r>
        <w:rPr>
          <w:rFonts w:hint="eastAsia" w:ascii="宋体" w:hAnsi="宋体" w:eastAsia="宋体" w:cs="宋体"/>
          <w:b/>
          <w:bCs w:val="0"/>
          <w:color w:val="auto"/>
          <w:sz w:val="44"/>
          <w:szCs w:val="44"/>
          <w:highlight w:val="none"/>
          <w:lang w:val="en-US" w:eastAsia="zh-CN"/>
        </w:rPr>
        <w:t>深圳出版社、华文国际传媒有限公司报价表</w:t>
      </w:r>
    </w:p>
    <w:p w14:paraId="21EC9EFF">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both"/>
        <w:textAlignment w:val="auto"/>
        <w:rPr>
          <w:rFonts w:hint="eastAsia" w:ascii="仿宋" w:hAnsi="仿宋" w:eastAsia="仿宋" w:cs="仿宋"/>
          <w:color w:val="auto"/>
          <w:sz w:val="32"/>
          <w:szCs w:val="32"/>
          <w:highlight w:val="none"/>
          <w:lang w:val="en-US" w:eastAsia="zh-CN"/>
        </w:rPr>
      </w:pPr>
    </w:p>
    <w:tbl>
      <w:tblPr>
        <w:tblStyle w:val="23"/>
        <w:tblW w:w="10575" w:type="dxa"/>
        <w:tblInd w:w="-8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3"/>
        <w:gridCol w:w="7682"/>
      </w:tblGrid>
      <w:tr w14:paraId="606C0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2893" w:type="dxa"/>
          </w:tcPr>
          <w:p w14:paraId="0E605E1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r>
              <w:rPr>
                <w:rFonts w:hint="eastAsia" w:ascii="仿宋" w:hAnsi="仿宋" w:eastAsia="仿宋" w:cs="仿宋"/>
                <w:color w:val="auto"/>
                <w:sz w:val="32"/>
                <w:szCs w:val="32"/>
                <w:highlight w:val="none"/>
                <w:vertAlign w:val="baseline"/>
                <w:lang w:val="en-US" w:eastAsia="zh-CN"/>
              </w:rPr>
              <w:t>项目名称</w:t>
            </w:r>
          </w:p>
        </w:tc>
        <w:tc>
          <w:tcPr>
            <w:tcW w:w="7682" w:type="dxa"/>
          </w:tcPr>
          <w:p w14:paraId="20C1B94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r>
              <w:rPr>
                <w:rFonts w:hint="eastAsia" w:ascii="仿宋" w:hAnsi="仿宋" w:eastAsia="仿宋" w:cs="仿宋"/>
                <w:color w:val="auto"/>
                <w:sz w:val="32"/>
                <w:szCs w:val="32"/>
                <w:highlight w:val="none"/>
                <w:lang w:val="en-US" w:eastAsia="zh-CN"/>
              </w:rPr>
              <w:t>深圳出版社有限责任公司、华文国际传媒有限公司</w:t>
            </w:r>
            <w:r>
              <w:rPr>
                <w:rFonts w:hint="eastAsia" w:ascii="仿宋" w:hAnsi="仿宋" w:eastAsia="仿宋" w:cs="仿宋"/>
                <w:color w:val="auto"/>
                <w:sz w:val="32"/>
                <w:szCs w:val="32"/>
                <w:highlight w:val="none"/>
                <w:lang w:val="en-US" w:eastAsia="zh-CN"/>
              </w:rPr>
              <w:t>2年常年法律顾问服务项目</w:t>
            </w:r>
          </w:p>
        </w:tc>
      </w:tr>
      <w:tr w14:paraId="7D146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2893" w:type="dxa"/>
          </w:tcPr>
          <w:p w14:paraId="1CCD2DF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r>
              <w:rPr>
                <w:rFonts w:hint="eastAsia" w:ascii="仿宋" w:hAnsi="仿宋" w:eastAsia="仿宋" w:cs="仿宋"/>
                <w:color w:val="auto"/>
                <w:sz w:val="32"/>
                <w:szCs w:val="32"/>
                <w:highlight w:val="none"/>
                <w:vertAlign w:val="baseline"/>
                <w:lang w:val="en-US" w:eastAsia="zh-CN"/>
              </w:rPr>
              <w:t>深圳出版社项目报价（人民币）</w:t>
            </w:r>
          </w:p>
        </w:tc>
        <w:tc>
          <w:tcPr>
            <w:tcW w:w="7682" w:type="dxa"/>
          </w:tcPr>
          <w:p w14:paraId="3BBE7F2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u w:val="single"/>
                <w:vertAlign w:val="baseline"/>
                <w:lang w:val="en-US" w:eastAsia="zh-CN"/>
              </w:rPr>
            </w:pPr>
            <w:r>
              <w:rPr>
                <w:rFonts w:hint="eastAsia" w:ascii="仿宋" w:hAnsi="仿宋" w:eastAsia="仿宋" w:cs="仿宋"/>
                <w:color w:val="auto"/>
                <w:sz w:val="32"/>
                <w:szCs w:val="32"/>
                <w:highlight w:val="none"/>
                <w:u w:val="single"/>
                <w:vertAlign w:val="baseline"/>
                <w:lang w:val="en-US" w:eastAsia="zh-CN"/>
              </w:rPr>
              <w:t>大写：        元整：小写：         元</w:t>
            </w:r>
            <w:r>
              <w:rPr>
                <w:rFonts w:hint="eastAsia" w:ascii="仿宋" w:hAnsi="仿宋" w:eastAsia="仿宋" w:cs="仿宋"/>
                <w:b/>
                <w:bCs/>
                <w:color w:val="auto"/>
                <w:sz w:val="32"/>
                <w:szCs w:val="32"/>
                <w:highlight w:val="none"/>
                <w:lang w:val="en-US" w:eastAsia="zh-CN"/>
              </w:rPr>
              <w:t>（报价低于最高限价50%、高于最高限价的即为废标。）</w:t>
            </w:r>
          </w:p>
        </w:tc>
      </w:tr>
      <w:tr w14:paraId="6C9C5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2893" w:type="dxa"/>
            <w:shd w:val="clear"/>
            <w:vAlign w:val="top"/>
          </w:tcPr>
          <w:p w14:paraId="76C7966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color w:val="auto"/>
                <w:kern w:val="2"/>
                <w:sz w:val="32"/>
                <w:szCs w:val="32"/>
                <w:highlight w:val="none"/>
                <w:vertAlign w:val="baseline"/>
                <w:lang w:val="en-US" w:eastAsia="zh-CN" w:bidi="ar-SA"/>
              </w:rPr>
            </w:pPr>
            <w:r>
              <w:rPr>
                <w:rFonts w:hint="eastAsia" w:ascii="仿宋" w:hAnsi="仿宋" w:eastAsia="仿宋" w:cs="仿宋"/>
                <w:color w:val="auto"/>
                <w:sz w:val="32"/>
                <w:szCs w:val="32"/>
                <w:highlight w:val="none"/>
                <w:vertAlign w:val="baseline"/>
                <w:lang w:val="en-US" w:eastAsia="zh-CN"/>
              </w:rPr>
              <w:t>华文国际传媒有限公司</w:t>
            </w:r>
            <w:r>
              <w:rPr>
                <w:rFonts w:hint="eastAsia" w:ascii="仿宋" w:hAnsi="仿宋" w:eastAsia="仿宋" w:cs="仿宋"/>
                <w:color w:val="auto"/>
                <w:sz w:val="32"/>
                <w:szCs w:val="32"/>
                <w:highlight w:val="none"/>
                <w:vertAlign w:val="baseline"/>
                <w:lang w:val="en-US" w:eastAsia="zh-CN"/>
              </w:rPr>
              <w:t>项目报价（人民币）</w:t>
            </w:r>
          </w:p>
        </w:tc>
        <w:tc>
          <w:tcPr>
            <w:tcW w:w="7682" w:type="dxa"/>
            <w:shd w:val="clear"/>
            <w:vAlign w:val="top"/>
          </w:tcPr>
          <w:p w14:paraId="1500B51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 w:hAnsi="仿宋" w:eastAsia="仿宋" w:cs="仿宋"/>
                <w:color w:val="auto"/>
                <w:kern w:val="2"/>
                <w:sz w:val="32"/>
                <w:szCs w:val="32"/>
                <w:highlight w:val="none"/>
                <w:u w:val="single"/>
                <w:vertAlign w:val="baseline"/>
                <w:lang w:val="en-US" w:eastAsia="zh-CN" w:bidi="ar-SA"/>
              </w:rPr>
            </w:pPr>
            <w:r>
              <w:rPr>
                <w:rFonts w:hint="eastAsia" w:ascii="仿宋" w:hAnsi="仿宋" w:eastAsia="仿宋" w:cs="仿宋"/>
                <w:color w:val="auto"/>
                <w:sz w:val="32"/>
                <w:szCs w:val="32"/>
                <w:highlight w:val="none"/>
                <w:u w:val="single"/>
                <w:vertAlign w:val="baseline"/>
                <w:lang w:val="en-US" w:eastAsia="zh-CN"/>
              </w:rPr>
              <w:t>大写：        元整：小写：         元</w:t>
            </w:r>
            <w:r>
              <w:rPr>
                <w:rFonts w:hint="eastAsia" w:ascii="仿宋" w:hAnsi="仿宋" w:eastAsia="仿宋" w:cs="仿宋"/>
                <w:b/>
                <w:bCs/>
                <w:color w:val="auto"/>
                <w:sz w:val="32"/>
                <w:szCs w:val="32"/>
                <w:highlight w:val="none"/>
                <w:lang w:val="en-US" w:eastAsia="zh-CN"/>
              </w:rPr>
              <w:t>（报价低于最高限价50%、高于最高限价的即为废标。）</w:t>
            </w:r>
          </w:p>
        </w:tc>
      </w:tr>
      <w:tr w14:paraId="7AC52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10575" w:type="dxa"/>
            <w:gridSpan w:val="2"/>
          </w:tcPr>
          <w:p w14:paraId="68BC2B7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u w:val="single"/>
                <w:vertAlign w:val="baseline"/>
                <w:lang w:val="en-US" w:eastAsia="zh-CN"/>
              </w:rPr>
            </w:pPr>
            <w:r>
              <w:rPr>
                <w:rFonts w:hint="eastAsia" w:ascii="仿宋" w:hAnsi="仿宋" w:eastAsia="仿宋" w:cs="仿宋"/>
                <w:color w:val="auto"/>
                <w:sz w:val="32"/>
                <w:szCs w:val="32"/>
                <w:highlight w:val="none"/>
                <w:u w:val="single"/>
                <w:vertAlign w:val="baseline"/>
                <w:lang w:val="en-US" w:eastAsia="zh-CN"/>
              </w:rPr>
              <w:t>深圳出版社和华文国际传媒有限公司报价总和：XX元</w:t>
            </w:r>
          </w:p>
        </w:tc>
      </w:tr>
      <w:tr w14:paraId="741E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0" w:hRule="atLeast"/>
        </w:trPr>
        <w:tc>
          <w:tcPr>
            <w:tcW w:w="2893" w:type="dxa"/>
          </w:tcPr>
          <w:p w14:paraId="659B006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r>
              <w:rPr>
                <w:rFonts w:hint="eastAsia" w:ascii="仿宋" w:hAnsi="仿宋" w:eastAsia="仿宋" w:cs="仿宋"/>
                <w:color w:val="auto"/>
                <w:sz w:val="32"/>
                <w:szCs w:val="32"/>
                <w:highlight w:val="none"/>
                <w:lang w:val="en-US" w:eastAsia="zh-CN"/>
              </w:rPr>
              <w:t>拟派提供2年服务主办律师及驻点2年驻点律师基本介绍</w:t>
            </w:r>
          </w:p>
        </w:tc>
        <w:tc>
          <w:tcPr>
            <w:tcW w:w="7682" w:type="dxa"/>
          </w:tcPr>
          <w:p w14:paraId="62DDF68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highlight w:val="none"/>
                <w:u w:val="single"/>
                <w:vertAlign w:val="baseline"/>
                <w:lang w:val="en-US" w:eastAsia="zh-CN"/>
              </w:rPr>
            </w:pPr>
          </w:p>
        </w:tc>
      </w:tr>
      <w:tr w14:paraId="598B2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5" w:hRule="atLeast"/>
        </w:trPr>
        <w:tc>
          <w:tcPr>
            <w:tcW w:w="2893" w:type="dxa"/>
          </w:tcPr>
          <w:p w14:paraId="4F34B49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r>
              <w:rPr>
                <w:rFonts w:hint="eastAsia" w:ascii="仿宋" w:hAnsi="仿宋" w:eastAsia="仿宋" w:cs="仿宋"/>
                <w:color w:val="auto"/>
                <w:sz w:val="32"/>
                <w:szCs w:val="32"/>
                <w:highlight w:val="none"/>
                <w:vertAlign w:val="baseline"/>
                <w:lang w:val="en-US" w:eastAsia="zh-CN"/>
              </w:rPr>
              <w:t>服务内容</w:t>
            </w:r>
          </w:p>
        </w:tc>
        <w:tc>
          <w:tcPr>
            <w:tcW w:w="7682" w:type="dxa"/>
          </w:tcPr>
          <w:p w14:paraId="2936940F">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highlight w:val="none"/>
                <w:u w:val="single"/>
                <w:vertAlign w:val="baseline"/>
                <w:lang w:val="en-US" w:eastAsia="zh-CN"/>
              </w:rPr>
            </w:pPr>
          </w:p>
        </w:tc>
      </w:tr>
      <w:tr w14:paraId="60CF6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75" w:type="dxa"/>
            <w:gridSpan w:val="2"/>
          </w:tcPr>
          <w:p w14:paraId="1783A346">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r>
              <w:rPr>
                <w:rFonts w:hint="default" w:ascii="仿宋" w:hAnsi="仿宋" w:eastAsia="仿宋" w:cs="仿宋"/>
                <w:color w:val="auto"/>
                <w:sz w:val="32"/>
                <w:szCs w:val="32"/>
                <w:highlight w:val="none"/>
                <w:vertAlign w:val="baseline"/>
                <w:lang w:val="en-US" w:eastAsia="zh-CN"/>
              </w:rPr>
              <w:t>【注】：以上报价含</w:t>
            </w:r>
            <w:r>
              <w:rPr>
                <w:rFonts w:hint="default" w:ascii="仿宋" w:hAnsi="仿宋" w:eastAsia="仿宋" w:cs="仿宋"/>
                <w:color w:val="auto"/>
                <w:sz w:val="32"/>
                <w:szCs w:val="32"/>
                <w:highlight w:val="none"/>
                <w:u w:val="single"/>
                <w:vertAlign w:val="baseline"/>
                <w:lang w:val="en-US" w:eastAsia="zh-CN"/>
              </w:rPr>
              <w:t xml:space="preserve"> </w:t>
            </w:r>
            <w:r>
              <w:rPr>
                <w:rFonts w:hint="eastAsia" w:ascii="仿宋" w:hAnsi="仿宋" w:eastAsia="仿宋" w:cs="仿宋"/>
                <w:color w:val="auto"/>
                <w:sz w:val="32"/>
                <w:szCs w:val="32"/>
                <w:highlight w:val="none"/>
                <w:u w:val="single"/>
                <w:vertAlign w:val="baseline"/>
                <w:lang w:val="en-US" w:eastAsia="zh-CN"/>
              </w:rPr>
              <w:t xml:space="preserve">  </w:t>
            </w:r>
            <w:r>
              <w:rPr>
                <w:rFonts w:hint="default" w:ascii="仿宋" w:hAnsi="仿宋" w:eastAsia="仿宋" w:cs="仿宋"/>
                <w:color w:val="auto"/>
                <w:sz w:val="32"/>
                <w:szCs w:val="32"/>
                <w:highlight w:val="none"/>
                <w:vertAlign w:val="baseline"/>
                <w:lang w:val="en-US" w:eastAsia="zh-CN"/>
              </w:rPr>
              <w:t>%增值税，该报价包含完成本项目的所有费用。</w:t>
            </w:r>
            <w:r>
              <w:rPr>
                <w:rFonts w:hint="eastAsia" w:ascii="仿宋" w:hAnsi="仿宋" w:eastAsia="仿宋" w:cs="仿宋"/>
                <w:color w:val="auto"/>
                <w:sz w:val="32"/>
                <w:szCs w:val="32"/>
                <w:highlight w:val="none"/>
                <w:vertAlign w:val="baseline"/>
                <w:lang w:val="en-US" w:eastAsia="zh-CN"/>
              </w:rPr>
              <w:t xml:space="preserve"> </w:t>
            </w:r>
          </w:p>
        </w:tc>
      </w:tr>
    </w:tbl>
    <w:p w14:paraId="7C33E6F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both"/>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供 应 商(公章)：</w:t>
      </w:r>
    </w:p>
    <w:p w14:paraId="281DFC8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both"/>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代 表(签名)：</w:t>
      </w:r>
    </w:p>
    <w:p w14:paraId="5717F55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ind w:firstLine="960" w:firstLineChars="300"/>
        <w:jc w:val="both"/>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日 期：</w:t>
      </w:r>
    </w:p>
    <w:p w14:paraId="6C7105E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ascii="宋体" w:hAnsi="宋体"/>
          <w:b/>
          <w:color w:val="auto"/>
          <w:sz w:val="24"/>
          <w:szCs w:val="24"/>
          <w:highlight w:val="none"/>
        </w:rPr>
      </w:pPr>
      <w:r>
        <w:rPr>
          <w:rFonts w:hint="eastAsia" w:ascii="仿宋" w:hAnsi="仿宋" w:eastAsia="仿宋" w:cs="仿宋"/>
          <w:color w:val="auto"/>
          <w:sz w:val="32"/>
          <w:szCs w:val="32"/>
          <w:highlight w:val="none"/>
          <w:lang w:val="en-US" w:eastAsia="zh-CN"/>
        </w:rPr>
        <w:t>附件6</w:t>
      </w:r>
    </w:p>
    <w:p w14:paraId="7137BF66">
      <w:pPr>
        <w:shd w:val="clear"/>
        <w:spacing w:line="560" w:lineRule="exact"/>
        <w:ind w:firstLine="3534" w:firstLineChars="800"/>
        <w:jc w:val="both"/>
        <w:rPr>
          <w:rFonts w:hint="eastAsia" w:ascii="宋体" w:hAnsi="宋体" w:eastAsia="宋体" w:cs="宋体"/>
          <w:b/>
          <w:bCs w:val="0"/>
          <w:color w:val="auto"/>
          <w:sz w:val="44"/>
          <w:szCs w:val="44"/>
          <w:highlight w:val="none"/>
        </w:rPr>
      </w:pPr>
      <w:r>
        <w:rPr>
          <w:rFonts w:hint="eastAsia" w:ascii="宋体" w:hAnsi="宋体" w:eastAsia="宋体" w:cs="宋体"/>
          <w:b/>
          <w:bCs w:val="0"/>
          <w:color w:val="auto"/>
          <w:sz w:val="44"/>
          <w:szCs w:val="44"/>
          <w:highlight w:val="none"/>
          <w:lang w:eastAsia="zh-CN"/>
        </w:rPr>
        <w:t>报</w:t>
      </w:r>
      <w:r>
        <w:rPr>
          <w:rFonts w:hint="eastAsia" w:ascii="宋体" w:hAnsi="宋体" w:eastAsia="宋体" w:cs="宋体"/>
          <w:b/>
          <w:bCs w:val="0"/>
          <w:color w:val="auto"/>
          <w:sz w:val="44"/>
          <w:szCs w:val="44"/>
          <w:highlight w:val="none"/>
        </w:rPr>
        <w:t xml:space="preserve"> 价 函</w:t>
      </w:r>
    </w:p>
    <w:p w14:paraId="35DE2958">
      <w:pPr>
        <w:shd w:val="clear"/>
        <w:spacing w:line="560" w:lineRule="exact"/>
        <w:ind w:firstLine="883" w:firstLineChars="200"/>
        <w:jc w:val="center"/>
        <w:rPr>
          <w:rFonts w:ascii="宋体" w:hAnsi="宋体"/>
          <w:b/>
          <w:color w:val="auto"/>
          <w:sz w:val="44"/>
          <w:szCs w:val="44"/>
          <w:highlight w:val="none"/>
        </w:rPr>
      </w:pPr>
    </w:p>
    <w:p w14:paraId="58FEB04C">
      <w:pPr>
        <w:shd w:val="clear"/>
        <w:spacing w:line="560" w:lineRule="exact"/>
        <w:ind w:left="0" w:leftChars="0" w:firstLine="0" w:firstLineChars="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深圳出版社有限责任公司</w:t>
      </w:r>
      <w:r>
        <w:rPr>
          <w:rFonts w:hint="eastAsia" w:ascii="仿宋" w:hAnsi="仿宋" w:eastAsia="仿宋" w:cs="仿宋"/>
          <w:b/>
          <w:color w:val="auto"/>
          <w:sz w:val="32"/>
          <w:szCs w:val="32"/>
          <w:highlight w:val="none"/>
          <w:lang w:eastAsia="zh-CN"/>
        </w:rPr>
        <w:t>、</w:t>
      </w:r>
      <w:r>
        <w:rPr>
          <w:rFonts w:hint="eastAsia" w:ascii="仿宋" w:hAnsi="仿宋" w:eastAsia="仿宋" w:cs="仿宋"/>
          <w:b/>
          <w:color w:val="auto"/>
          <w:sz w:val="32"/>
          <w:szCs w:val="32"/>
          <w:highlight w:val="none"/>
          <w:lang w:val="en-US" w:eastAsia="zh-CN"/>
        </w:rPr>
        <w:t>华文国际传媒有限公司</w:t>
      </w:r>
      <w:r>
        <w:rPr>
          <w:rFonts w:hint="eastAsia" w:ascii="仿宋" w:hAnsi="仿宋" w:eastAsia="仿宋" w:cs="仿宋"/>
          <w:b/>
          <w:color w:val="auto"/>
          <w:sz w:val="32"/>
          <w:szCs w:val="32"/>
          <w:highlight w:val="none"/>
        </w:rPr>
        <w:t>：</w:t>
      </w:r>
    </w:p>
    <w:p w14:paraId="1C5F5567">
      <w:pPr>
        <w:shd w:val="clear"/>
        <w:spacing w:line="56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1.根据贵公司发布的</w:t>
      </w:r>
      <w:r>
        <w:rPr>
          <w:rFonts w:hint="eastAsia" w:ascii="仿宋" w:hAnsi="仿宋" w:eastAsia="仿宋" w:cs="仿宋"/>
          <w:color w:val="auto"/>
          <w:sz w:val="32"/>
          <w:szCs w:val="32"/>
          <w:highlight w:val="none"/>
          <w:lang w:val="en-US" w:eastAsia="zh-CN"/>
        </w:rPr>
        <w:t>采购</w:t>
      </w:r>
      <w:r>
        <w:rPr>
          <w:rFonts w:hint="eastAsia" w:ascii="仿宋" w:hAnsi="仿宋" w:eastAsia="仿宋" w:cs="仿宋"/>
          <w:color w:val="auto"/>
          <w:sz w:val="32"/>
          <w:szCs w:val="32"/>
          <w:highlight w:val="none"/>
          <w:lang w:eastAsia="zh-CN"/>
        </w:rPr>
        <w:t>公告</w:t>
      </w:r>
      <w:r>
        <w:rPr>
          <w:rFonts w:hint="eastAsia" w:ascii="仿宋" w:hAnsi="仿宋" w:eastAsia="仿宋" w:cs="仿宋"/>
          <w:color w:val="auto"/>
          <w:sz w:val="32"/>
          <w:szCs w:val="32"/>
          <w:highlight w:val="none"/>
        </w:rPr>
        <w:t>，我们决定参加你们组织的</w:t>
      </w:r>
      <w:r>
        <w:rPr>
          <w:rFonts w:hint="eastAsia" w:ascii="仿宋" w:hAnsi="仿宋" w:eastAsia="仿宋" w:cs="仿宋"/>
          <w:color w:val="auto"/>
          <w:sz w:val="32"/>
          <w:szCs w:val="32"/>
          <w:highlight w:val="none"/>
          <w:u w:val="single"/>
        </w:rPr>
        <w:t>“</w:t>
      </w:r>
      <w:r>
        <w:rPr>
          <w:rFonts w:hint="eastAsia" w:ascii="仿宋" w:hAnsi="仿宋" w:eastAsia="仿宋" w:cs="仿宋"/>
          <w:b/>
          <w:bCs/>
          <w:color w:val="auto"/>
          <w:sz w:val="32"/>
          <w:szCs w:val="32"/>
          <w:highlight w:val="none"/>
          <w:u w:val="single"/>
          <w:lang w:val="en-US" w:eastAsia="zh-CN"/>
        </w:rPr>
        <w:t>深圳出版社有限责任公司、华文国际传媒有限公司联合采购2年常年法律顾问服务”</w:t>
      </w:r>
      <w:r>
        <w:rPr>
          <w:rFonts w:hint="eastAsia" w:ascii="仿宋" w:hAnsi="仿宋" w:eastAsia="仿宋" w:cs="仿宋"/>
          <w:color w:val="auto"/>
          <w:sz w:val="32"/>
          <w:szCs w:val="32"/>
          <w:highlight w:val="none"/>
          <w:u w:val="single"/>
        </w:rPr>
        <w:t>项目</w:t>
      </w:r>
      <w:r>
        <w:rPr>
          <w:rFonts w:hint="eastAsia" w:ascii="仿宋" w:hAnsi="仿宋" w:eastAsia="仿宋" w:cs="仿宋"/>
          <w:color w:val="auto"/>
          <w:sz w:val="32"/>
          <w:szCs w:val="32"/>
          <w:highlight w:val="none"/>
          <w:u w:val="single"/>
          <w:lang w:eastAsia="zh-CN"/>
        </w:rPr>
        <w:t>报</w:t>
      </w:r>
      <w:r>
        <w:rPr>
          <w:rFonts w:hint="eastAsia" w:ascii="仿宋" w:hAnsi="仿宋" w:eastAsia="仿宋" w:cs="仿宋"/>
          <w:color w:val="auto"/>
          <w:sz w:val="32"/>
          <w:szCs w:val="32"/>
          <w:highlight w:val="none"/>
          <w:u w:val="single"/>
        </w:rPr>
        <w:t>价</w:t>
      </w:r>
      <w:r>
        <w:rPr>
          <w:rFonts w:hint="eastAsia" w:ascii="仿宋" w:hAnsi="仿宋" w:eastAsia="仿宋" w:cs="仿宋"/>
          <w:color w:val="auto"/>
          <w:sz w:val="32"/>
          <w:szCs w:val="32"/>
          <w:highlight w:val="none"/>
        </w:rPr>
        <w:t>。</w:t>
      </w:r>
    </w:p>
    <w:p w14:paraId="7C6B0349">
      <w:pPr>
        <w:shd w:val="clear"/>
        <w:spacing w:line="560" w:lineRule="exact"/>
        <w:ind w:left="0" w:leftChars="0" w:firstLine="640" w:firstLineChars="200"/>
        <w:rPr>
          <w:rFonts w:hint="default" w:ascii="仿宋" w:hAnsi="仿宋" w:eastAsia="仿宋" w:cs="仿宋"/>
          <w:b/>
          <w:color w:val="auto"/>
          <w:sz w:val="32"/>
          <w:szCs w:val="32"/>
          <w:highlight w:val="none"/>
          <w:lang w:val="en-US"/>
        </w:rPr>
      </w:pPr>
      <w:r>
        <w:rPr>
          <w:rFonts w:hint="eastAsia" w:ascii="仿宋" w:hAnsi="仿宋" w:eastAsia="仿宋" w:cs="仿宋"/>
          <w:color w:val="auto"/>
          <w:sz w:val="32"/>
          <w:szCs w:val="32"/>
          <w:highlight w:val="none"/>
        </w:rPr>
        <w:t>2.我方愿意完全响应</w:t>
      </w:r>
      <w:r>
        <w:rPr>
          <w:rFonts w:hint="eastAsia" w:ascii="仿宋" w:hAnsi="仿宋" w:eastAsia="仿宋" w:cs="仿宋"/>
          <w:color w:val="auto"/>
          <w:sz w:val="32"/>
          <w:szCs w:val="32"/>
          <w:highlight w:val="none"/>
          <w:lang w:val="en-US" w:eastAsia="zh-CN"/>
        </w:rPr>
        <w:t>采购</w:t>
      </w:r>
      <w:r>
        <w:rPr>
          <w:rFonts w:hint="eastAsia" w:ascii="仿宋" w:hAnsi="仿宋" w:eastAsia="仿宋" w:cs="仿宋"/>
          <w:color w:val="auto"/>
          <w:sz w:val="32"/>
          <w:szCs w:val="32"/>
          <w:highlight w:val="none"/>
          <w:lang w:eastAsia="zh-CN"/>
        </w:rPr>
        <w:t>公告</w:t>
      </w:r>
      <w:r>
        <w:rPr>
          <w:rFonts w:hint="eastAsia" w:ascii="仿宋" w:hAnsi="仿宋" w:eastAsia="仿宋" w:cs="仿宋"/>
          <w:color w:val="auto"/>
          <w:sz w:val="32"/>
          <w:szCs w:val="32"/>
          <w:highlight w:val="none"/>
        </w:rPr>
        <w:t>要求，按照规定的各项要求向贵方提供法律服务</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且同意中选后按各自响应报价分别与</w:t>
      </w:r>
      <w:r>
        <w:rPr>
          <w:rFonts w:hint="eastAsia" w:ascii="仿宋" w:hAnsi="仿宋" w:eastAsia="仿宋" w:cs="仿宋"/>
          <w:color w:val="auto"/>
          <w:sz w:val="32"/>
          <w:szCs w:val="32"/>
          <w:highlight w:val="none"/>
        </w:rPr>
        <w:t>深圳出版社有限责任公司</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华文国际传媒有限公司签订合同。</w:t>
      </w:r>
    </w:p>
    <w:p w14:paraId="09217134">
      <w:pPr>
        <w:shd w:val="clear"/>
        <w:spacing w:line="56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3.若我方</w:t>
      </w:r>
      <w:r>
        <w:rPr>
          <w:rFonts w:hint="eastAsia" w:ascii="仿宋" w:hAnsi="仿宋" w:eastAsia="仿宋" w:cs="仿宋"/>
          <w:color w:val="auto"/>
          <w:sz w:val="32"/>
          <w:szCs w:val="32"/>
          <w:highlight w:val="none"/>
          <w:lang w:eastAsia="zh-CN"/>
        </w:rPr>
        <w:t>报</w:t>
      </w:r>
      <w:r>
        <w:rPr>
          <w:rFonts w:hint="eastAsia" w:ascii="仿宋" w:hAnsi="仿宋" w:eastAsia="仿宋" w:cs="仿宋"/>
          <w:color w:val="auto"/>
          <w:sz w:val="32"/>
          <w:szCs w:val="32"/>
          <w:highlight w:val="none"/>
        </w:rPr>
        <w:t>价成功，我方将严格履行合同规定的责任和义务。</w:t>
      </w:r>
    </w:p>
    <w:p w14:paraId="36FC9BA5">
      <w:pPr>
        <w:shd w:val="clear"/>
        <w:spacing w:line="56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4.我方为本项目提交</w:t>
      </w:r>
      <w:r>
        <w:rPr>
          <w:rFonts w:hint="eastAsia" w:ascii="仿宋" w:hAnsi="仿宋" w:eastAsia="仿宋" w:cs="仿宋"/>
          <w:color w:val="auto"/>
          <w:sz w:val="32"/>
          <w:szCs w:val="32"/>
          <w:highlight w:val="none"/>
          <w:lang w:eastAsia="zh-CN"/>
        </w:rPr>
        <w:t>报</w:t>
      </w:r>
      <w:r>
        <w:rPr>
          <w:rFonts w:hint="eastAsia" w:ascii="仿宋" w:hAnsi="仿宋" w:eastAsia="仿宋" w:cs="仿宋"/>
          <w:color w:val="auto"/>
          <w:sz w:val="32"/>
          <w:szCs w:val="32"/>
          <w:highlight w:val="none"/>
        </w:rPr>
        <w:t>价文件三份</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包含深圳出版社和华文国际传媒有限公司单独报价</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w:t>
      </w:r>
    </w:p>
    <w:p w14:paraId="2311DCD4">
      <w:pPr>
        <w:shd w:val="clear"/>
        <w:spacing w:line="56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5.我方愿意提供</w:t>
      </w:r>
      <w:r>
        <w:rPr>
          <w:rFonts w:hint="eastAsia" w:ascii="仿宋" w:hAnsi="仿宋" w:eastAsia="仿宋" w:cs="仿宋"/>
          <w:color w:val="auto"/>
          <w:sz w:val="32"/>
          <w:szCs w:val="32"/>
          <w:highlight w:val="none"/>
          <w:lang w:eastAsia="zh-CN"/>
        </w:rPr>
        <w:t>报</w:t>
      </w:r>
      <w:r>
        <w:rPr>
          <w:rFonts w:hint="eastAsia" w:ascii="仿宋" w:hAnsi="仿宋" w:eastAsia="仿宋" w:cs="仿宋"/>
          <w:color w:val="auto"/>
          <w:sz w:val="32"/>
          <w:szCs w:val="32"/>
          <w:highlight w:val="none"/>
        </w:rPr>
        <w:t>价人可能另外要求的、与</w:t>
      </w:r>
      <w:r>
        <w:rPr>
          <w:rFonts w:hint="eastAsia" w:ascii="仿宋" w:hAnsi="仿宋" w:eastAsia="仿宋" w:cs="仿宋"/>
          <w:color w:val="auto"/>
          <w:sz w:val="32"/>
          <w:szCs w:val="32"/>
          <w:highlight w:val="none"/>
          <w:lang w:eastAsia="zh-CN"/>
        </w:rPr>
        <w:t>报</w:t>
      </w:r>
      <w:r>
        <w:rPr>
          <w:rFonts w:hint="eastAsia" w:ascii="仿宋" w:hAnsi="仿宋" w:eastAsia="仿宋" w:cs="仿宋"/>
          <w:color w:val="auto"/>
          <w:sz w:val="32"/>
          <w:szCs w:val="32"/>
          <w:highlight w:val="none"/>
        </w:rPr>
        <w:t>价有关的文件资料，并保证我方已提供和将要提供的文件是真实的、准确的。</w:t>
      </w:r>
    </w:p>
    <w:p w14:paraId="13B8E791">
      <w:pPr>
        <w:shd w:val="clear"/>
        <w:spacing w:line="560" w:lineRule="exact"/>
        <w:ind w:firstLine="640" w:firstLineChars="200"/>
        <w:rPr>
          <w:rFonts w:ascii="仿宋" w:hAnsi="仿宋" w:eastAsia="仿宋" w:cs="仿宋"/>
          <w:color w:val="auto"/>
          <w:sz w:val="32"/>
          <w:szCs w:val="32"/>
          <w:highlight w:val="none"/>
          <w:u w:val="single"/>
        </w:rPr>
      </w:pPr>
      <w:r>
        <w:rPr>
          <w:rFonts w:hint="eastAsia" w:ascii="仿宋" w:hAnsi="仿宋" w:eastAsia="仿宋" w:cs="仿宋"/>
          <w:color w:val="auto"/>
          <w:kern w:val="0"/>
          <w:sz w:val="32"/>
          <w:szCs w:val="32"/>
          <w:highlight w:val="none"/>
          <w:lang w:val="en-US" w:eastAsia="zh-CN"/>
        </w:rPr>
        <w:t>6</w:t>
      </w:r>
      <w:r>
        <w:rPr>
          <w:rFonts w:hint="eastAsia" w:ascii="仿宋" w:hAnsi="仿宋" w:eastAsia="仿宋" w:cs="仿宋"/>
          <w:color w:val="auto"/>
          <w:kern w:val="0"/>
          <w:sz w:val="32"/>
          <w:szCs w:val="32"/>
          <w:highlight w:val="none"/>
        </w:rPr>
        <w:t>.与本</w:t>
      </w:r>
      <w:r>
        <w:rPr>
          <w:rFonts w:hint="eastAsia" w:ascii="仿宋" w:hAnsi="仿宋" w:eastAsia="仿宋" w:cs="仿宋"/>
          <w:color w:val="auto"/>
          <w:kern w:val="0"/>
          <w:sz w:val="32"/>
          <w:szCs w:val="32"/>
          <w:highlight w:val="none"/>
          <w:lang w:eastAsia="zh-CN"/>
        </w:rPr>
        <w:t>报</w:t>
      </w:r>
      <w:r>
        <w:rPr>
          <w:rFonts w:hint="eastAsia" w:ascii="仿宋" w:hAnsi="仿宋" w:eastAsia="仿宋" w:cs="仿宋"/>
          <w:color w:val="auto"/>
          <w:kern w:val="0"/>
          <w:sz w:val="32"/>
          <w:szCs w:val="32"/>
          <w:highlight w:val="none"/>
        </w:rPr>
        <w:t>价有关的正式通讯地址为：</w:t>
      </w:r>
    </w:p>
    <w:p w14:paraId="41264C75">
      <w:pPr>
        <w:shd w:val="clear"/>
        <w:spacing w:line="56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地址：</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 xml:space="preserve"> </w:t>
      </w:r>
    </w:p>
    <w:p w14:paraId="229866D0">
      <w:pPr>
        <w:shd w:val="clear"/>
        <w:spacing w:line="560" w:lineRule="exact"/>
        <w:ind w:firstLine="640" w:firstLineChars="200"/>
        <w:rPr>
          <w:rFonts w:ascii="仿宋" w:hAnsi="仿宋" w:eastAsia="仿宋" w:cs="仿宋"/>
          <w:color w:val="auto"/>
          <w:sz w:val="32"/>
          <w:szCs w:val="32"/>
          <w:highlight w:val="none"/>
          <w:u w:val="single"/>
        </w:rPr>
      </w:pP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single"/>
        </w:rPr>
        <w:t xml:space="preserve">                              </w:t>
      </w:r>
    </w:p>
    <w:p w14:paraId="6C01BA08">
      <w:pPr>
        <w:shd w:val="clear"/>
        <w:spacing w:line="56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代表（签名）：</w:t>
      </w:r>
      <w:r>
        <w:rPr>
          <w:rFonts w:hint="eastAsia" w:ascii="仿宋" w:hAnsi="仿宋" w:eastAsia="仿宋" w:cs="仿宋"/>
          <w:color w:val="auto"/>
          <w:sz w:val="32"/>
          <w:szCs w:val="32"/>
          <w:highlight w:val="none"/>
          <w:u w:val="single"/>
        </w:rPr>
        <w:t xml:space="preserve">                       </w:t>
      </w:r>
    </w:p>
    <w:p w14:paraId="55C485E5">
      <w:pPr>
        <w:shd w:val="clear"/>
        <w:spacing w:line="56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日      </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 xml:space="preserve"> 期：</w:t>
      </w:r>
      <w:r>
        <w:rPr>
          <w:rFonts w:hint="eastAsia" w:ascii="仿宋" w:hAnsi="仿宋" w:eastAsia="仿宋" w:cs="仿宋"/>
          <w:color w:val="auto"/>
          <w:sz w:val="32"/>
          <w:szCs w:val="32"/>
          <w:highlight w:val="none"/>
          <w:u w:val="single"/>
        </w:rPr>
        <w:t xml:space="preserve">                       </w:t>
      </w:r>
    </w:p>
    <w:p w14:paraId="05732D7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lang w:val="en-US" w:eastAsia="zh-CN"/>
        </w:rPr>
      </w:pPr>
    </w:p>
    <w:p w14:paraId="42CA712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附件7</w:t>
      </w:r>
    </w:p>
    <w:p w14:paraId="71AED30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highlight w:val="none"/>
          <w:lang w:val="en-US" w:eastAsia="zh-CN"/>
        </w:rPr>
      </w:pPr>
    </w:p>
    <w:p w14:paraId="5F6C4642">
      <w:pPr>
        <w:shd w:val="clear"/>
        <w:spacing w:line="560" w:lineRule="exact"/>
        <w:ind w:firstLine="883" w:firstLineChars="200"/>
        <w:jc w:val="center"/>
        <w:rPr>
          <w:rFonts w:hint="eastAsia" w:ascii="宋体" w:hAnsi="宋体" w:eastAsia="宋体" w:cs="宋体"/>
          <w:b/>
          <w:color w:val="auto"/>
          <w:sz w:val="44"/>
          <w:szCs w:val="44"/>
          <w:highlight w:val="none"/>
          <w:lang w:val="en-US" w:eastAsia="zh-CN"/>
        </w:rPr>
      </w:pPr>
      <w:r>
        <w:rPr>
          <w:rFonts w:hint="eastAsia" w:ascii="宋体" w:hAnsi="宋体" w:eastAsia="宋体" w:cs="宋体"/>
          <w:b/>
          <w:color w:val="auto"/>
          <w:sz w:val="44"/>
          <w:szCs w:val="44"/>
          <w:highlight w:val="none"/>
          <w:lang w:val="en-US" w:eastAsia="zh-CN"/>
        </w:rPr>
        <w:t>2023年5月1日至响应截止日期间</w:t>
      </w:r>
    </w:p>
    <w:p w14:paraId="26729478">
      <w:pPr>
        <w:shd w:val="clear"/>
        <w:spacing w:line="560" w:lineRule="exact"/>
        <w:ind w:firstLine="883" w:firstLineChars="200"/>
        <w:jc w:val="center"/>
        <w:rPr>
          <w:rFonts w:hint="eastAsia" w:ascii="宋体" w:hAnsi="宋体" w:eastAsia="宋体" w:cs="宋体"/>
          <w:b/>
          <w:color w:val="auto"/>
          <w:sz w:val="44"/>
          <w:szCs w:val="44"/>
          <w:highlight w:val="none"/>
          <w:lang w:val="en-US" w:eastAsia="zh-CN"/>
        </w:rPr>
      </w:pPr>
      <w:r>
        <w:rPr>
          <w:rFonts w:hint="eastAsia" w:ascii="宋体" w:hAnsi="宋体" w:eastAsia="宋体" w:cs="宋体"/>
          <w:b/>
          <w:color w:val="auto"/>
          <w:sz w:val="44"/>
          <w:szCs w:val="44"/>
          <w:highlight w:val="none"/>
          <w:lang w:val="en-US" w:eastAsia="zh-CN"/>
        </w:rPr>
        <w:t>为政府机关、国企和事业单位提供</w:t>
      </w:r>
    </w:p>
    <w:p w14:paraId="283437F2">
      <w:pPr>
        <w:shd w:val="clear"/>
        <w:spacing w:line="560" w:lineRule="exact"/>
        <w:ind w:firstLine="883" w:firstLineChars="200"/>
        <w:jc w:val="center"/>
        <w:rPr>
          <w:rFonts w:hint="eastAsia" w:ascii="宋体" w:hAnsi="宋体" w:eastAsia="宋体" w:cs="宋体"/>
          <w:b/>
          <w:color w:val="auto"/>
          <w:sz w:val="44"/>
          <w:szCs w:val="44"/>
          <w:highlight w:val="none"/>
          <w:lang w:val="en-US" w:eastAsia="zh-CN"/>
        </w:rPr>
      </w:pPr>
      <w:r>
        <w:rPr>
          <w:rFonts w:hint="eastAsia" w:ascii="宋体" w:hAnsi="宋体" w:eastAsia="宋体" w:cs="宋体"/>
          <w:b/>
          <w:color w:val="auto"/>
          <w:sz w:val="44"/>
          <w:szCs w:val="44"/>
          <w:highlight w:val="none"/>
          <w:lang w:val="en-US" w:eastAsia="zh-CN"/>
        </w:rPr>
        <w:t>常年法律顾问的合同清单</w:t>
      </w:r>
    </w:p>
    <w:p w14:paraId="590F6C3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highlight w:val="none"/>
          <w:lang w:val="en-US" w:eastAsia="zh-CN"/>
        </w:rPr>
      </w:pPr>
    </w:p>
    <w:p w14:paraId="6D3686A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填写单位：</w:t>
      </w:r>
    </w:p>
    <w:p w14:paraId="4FED4ED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highlight w:val="none"/>
          <w:lang w:val="en-US" w:eastAsia="zh-CN"/>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4"/>
        <w:gridCol w:w="2766"/>
        <w:gridCol w:w="2766"/>
      </w:tblGrid>
      <w:tr w14:paraId="2D330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tcPr>
          <w:p w14:paraId="28E6999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r>
              <w:rPr>
                <w:rFonts w:hint="eastAsia" w:ascii="仿宋" w:hAnsi="仿宋" w:eastAsia="仿宋" w:cs="仿宋"/>
                <w:color w:val="auto"/>
                <w:sz w:val="32"/>
                <w:szCs w:val="32"/>
                <w:highlight w:val="none"/>
                <w:vertAlign w:val="baseline"/>
                <w:lang w:val="en-US" w:eastAsia="zh-CN"/>
              </w:rPr>
              <w:t>序号</w:t>
            </w:r>
          </w:p>
        </w:tc>
        <w:tc>
          <w:tcPr>
            <w:tcW w:w="2766" w:type="dxa"/>
          </w:tcPr>
          <w:p w14:paraId="09657EC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r>
              <w:rPr>
                <w:rFonts w:hint="eastAsia" w:ascii="仿宋" w:hAnsi="仿宋" w:eastAsia="仿宋" w:cs="仿宋"/>
                <w:color w:val="auto"/>
                <w:sz w:val="32"/>
                <w:szCs w:val="32"/>
                <w:highlight w:val="none"/>
                <w:vertAlign w:val="baseline"/>
                <w:lang w:val="en-US" w:eastAsia="zh-CN"/>
              </w:rPr>
              <w:t>合同名称</w:t>
            </w:r>
          </w:p>
        </w:tc>
        <w:tc>
          <w:tcPr>
            <w:tcW w:w="2766" w:type="dxa"/>
          </w:tcPr>
          <w:p w14:paraId="2CA161D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r>
              <w:rPr>
                <w:rFonts w:hint="eastAsia" w:ascii="仿宋" w:hAnsi="仿宋" w:eastAsia="仿宋" w:cs="仿宋"/>
                <w:color w:val="auto"/>
                <w:sz w:val="32"/>
                <w:szCs w:val="32"/>
                <w:highlight w:val="none"/>
                <w:vertAlign w:val="baseline"/>
                <w:lang w:val="en-US" w:eastAsia="zh-CN"/>
              </w:rPr>
              <w:t>合同签订期限</w:t>
            </w:r>
          </w:p>
        </w:tc>
      </w:tr>
      <w:tr w14:paraId="386DB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tcPr>
          <w:p w14:paraId="16C9C09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3960D19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644EDAA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2E926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tcPr>
          <w:p w14:paraId="55A2DC1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15F24C4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328A747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4B1E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tcPr>
          <w:p w14:paraId="40E06EE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0797333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4D0C692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00D7D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tcPr>
          <w:p w14:paraId="1864B8A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58014F7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37F9655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00FF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tcPr>
          <w:p w14:paraId="7AC315C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6DBC4EA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675A133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071EE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tcPr>
          <w:p w14:paraId="7C7D387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0CE8E0E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3C77D597">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2A38D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tcPr>
          <w:p w14:paraId="1F760E82">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0A19C37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583E4ED1">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7D853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tcPr>
          <w:p w14:paraId="2338553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7A12B1F6">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36A6215A">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3440B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tcPr>
          <w:p w14:paraId="6FCE3B2F">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7B829E2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48DBCE6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029A4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tcPr>
          <w:p w14:paraId="152EC23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7427F53E">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2C2409F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08B98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tcPr>
          <w:p w14:paraId="50A75EA3">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20ACC324">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759B78E0">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64971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tcPr>
          <w:p w14:paraId="4DA949AB">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3A55DF9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3952126C">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r w14:paraId="0ED78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4" w:type="dxa"/>
          </w:tcPr>
          <w:p w14:paraId="7F8D2F6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73483399">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c>
          <w:tcPr>
            <w:tcW w:w="2766" w:type="dxa"/>
          </w:tcPr>
          <w:p w14:paraId="598F5695">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default" w:ascii="仿宋" w:hAnsi="仿宋" w:eastAsia="仿宋" w:cs="仿宋"/>
                <w:color w:val="auto"/>
                <w:sz w:val="32"/>
                <w:szCs w:val="32"/>
                <w:highlight w:val="none"/>
                <w:vertAlign w:val="baseline"/>
                <w:lang w:val="en-US" w:eastAsia="zh-CN"/>
              </w:rPr>
            </w:pPr>
          </w:p>
        </w:tc>
      </w:tr>
    </w:tbl>
    <w:p w14:paraId="608EDC2D">
      <w:pPr>
        <w:pStyle w:val="42"/>
        <w:numPr>
          <w:ilvl w:val="0"/>
          <w:numId w:val="0"/>
        </w:numPr>
        <w:rPr>
          <w:rFonts w:hint="default" w:eastAsia="仿宋_GB2312"/>
          <w:highlight w:val="none"/>
          <w:lang w:val="en-US" w:eastAsia="zh-CN"/>
        </w:rPr>
      </w:pPr>
      <w:r>
        <w:rPr>
          <w:rFonts w:hint="eastAsia"/>
          <w:highlight w:val="none"/>
          <w:lang w:val="en-US" w:eastAsia="zh-CN"/>
        </w:rPr>
        <w:t>请附有关证明材料。</w:t>
      </w:r>
    </w:p>
    <w:p w14:paraId="70C65C8D">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32"/>
          <w:szCs w:val="32"/>
          <w:highlight w:val="none"/>
          <w:lang w:val="en-US" w:eastAsia="zh-CN"/>
        </w:rPr>
      </w:pPr>
    </w:p>
    <w:p w14:paraId="6C3AF916">
      <w:pPr>
        <w:keepNext w:val="0"/>
        <w:keepLines w:val="0"/>
        <w:pageBreakBefore w:val="0"/>
        <w:widowControl w:val="0"/>
        <w:numPr>
          <w:ilvl w:val="0"/>
          <w:numId w:val="0"/>
        </w:numPr>
        <w:shd w:val="clear"/>
        <w:kinsoku/>
        <w:wordWrap/>
        <w:overflowPunct/>
        <w:topLinePunct w:val="0"/>
        <w:autoSpaceDE/>
        <w:autoSpaceDN/>
        <w:bidi w:val="0"/>
        <w:adjustRightInd/>
        <w:snapToGrid/>
        <w:spacing w:line="560" w:lineRule="exact"/>
        <w:jc w:val="both"/>
        <w:textAlignment w:val="auto"/>
        <w:rPr>
          <w:rFonts w:hint="eastAsia" w:hAnsi="等线" w:cs="Times New Roman"/>
          <w:highlight w:val="none"/>
        </w:rPr>
      </w:pPr>
      <w:r>
        <w:rPr>
          <w:rFonts w:hint="eastAsia" w:ascii="仿宋" w:hAnsi="仿宋" w:eastAsia="仿宋" w:cs="仿宋"/>
          <w:color w:val="auto"/>
          <w:sz w:val="32"/>
          <w:szCs w:val="32"/>
          <w:highlight w:val="none"/>
          <w:lang w:val="en-US" w:eastAsia="zh-CN"/>
        </w:rPr>
        <w:t>附件8</w:t>
      </w:r>
    </w:p>
    <w:p w14:paraId="5CCC0152">
      <w:pPr>
        <w:shd w:val="clear"/>
        <w:spacing w:line="560" w:lineRule="exact"/>
        <w:ind w:firstLine="883" w:firstLineChars="200"/>
        <w:jc w:val="center"/>
        <w:rPr>
          <w:rFonts w:hint="eastAsia" w:ascii="宋体" w:hAnsi="宋体" w:eastAsia="宋体" w:cs="宋体"/>
          <w:b/>
          <w:color w:val="auto"/>
          <w:sz w:val="44"/>
          <w:szCs w:val="44"/>
          <w:highlight w:val="none"/>
          <w:lang w:val="en-US" w:eastAsia="zh-CN"/>
        </w:rPr>
      </w:pPr>
      <w:r>
        <w:rPr>
          <w:rFonts w:hint="eastAsia" w:ascii="宋体" w:hAnsi="宋体" w:eastAsia="宋体" w:cs="宋体"/>
          <w:b/>
          <w:color w:val="auto"/>
          <w:sz w:val="44"/>
          <w:szCs w:val="44"/>
          <w:highlight w:val="none"/>
          <w:lang w:val="en-US" w:eastAsia="zh-CN"/>
        </w:rPr>
        <w:t>供应商基本情况表</w:t>
      </w:r>
    </w:p>
    <w:p w14:paraId="195B9CE1">
      <w:pPr>
        <w:widowControl w:val="0"/>
        <w:spacing w:line="240" w:lineRule="auto"/>
        <w:ind w:firstLine="0" w:firstLineChars="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填表单位：（加盖单位公章）</w:t>
      </w:r>
      <w:r>
        <w:rPr>
          <w:rFonts w:hint="eastAsia" w:ascii="仿宋" w:hAnsi="仿宋" w:eastAsia="仿宋" w:cs="仿宋"/>
          <w:sz w:val="28"/>
          <w:szCs w:val="28"/>
          <w:highlight w:val="none"/>
        </w:rPr>
        <w:tab/>
      </w:r>
      <w:r>
        <w:rPr>
          <w:rFonts w:hint="eastAsia" w:ascii="仿宋" w:hAnsi="仿宋" w:eastAsia="仿宋" w:cs="仿宋"/>
          <w:sz w:val="28"/>
          <w:szCs w:val="28"/>
          <w:highlight w:val="none"/>
        </w:rPr>
        <w:tab/>
      </w:r>
      <w:r>
        <w:rPr>
          <w:rFonts w:hint="eastAsia" w:ascii="仿宋" w:hAnsi="仿宋" w:eastAsia="仿宋" w:cs="仿宋"/>
          <w:sz w:val="28"/>
          <w:szCs w:val="28"/>
          <w:highlight w:val="none"/>
        </w:rPr>
        <w:t xml:space="preserve">                   填表日期：    年   月   日</w:t>
      </w:r>
    </w:p>
    <w:tbl>
      <w:tblPr>
        <w:tblStyle w:val="62"/>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676"/>
        <w:gridCol w:w="1606"/>
        <w:gridCol w:w="947"/>
        <w:gridCol w:w="791"/>
        <w:gridCol w:w="1200"/>
        <w:gridCol w:w="1500"/>
        <w:gridCol w:w="1485"/>
      </w:tblGrid>
      <w:tr w14:paraId="768EC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vAlign w:val="center"/>
          </w:tcPr>
          <w:p w14:paraId="6A9E2167">
            <w:pPr>
              <w:widowControl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采购人</w:t>
            </w:r>
          </w:p>
        </w:tc>
        <w:tc>
          <w:tcPr>
            <w:tcW w:w="2553" w:type="dxa"/>
            <w:gridSpan w:val="2"/>
            <w:vAlign w:val="center"/>
          </w:tcPr>
          <w:p w14:paraId="4F745910">
            <w:pPr>
              <w:widowControl w:val="0"/>
              <w:spacing w:line="240" w:lineRule="auto"/>
              <w:ind w:firstLine="0" w:firstLineChars="0"/>
              <w:jc w:val="center"/>
              <w:textAlignment w:val="auto"/>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rPr>
              <w:t>深圳</w:t>
            </w:r>
            <w:r>
              <w:rPr>
                <w:rFonts w:hint="eastAsia" w:ascii="仿宋" w:hAnsi="仿宋" w:eastAsia="仿宋" w:cs="仿宋"/>
                <w:kern w:val="0"/>
                <w:sz w:val="28"/>
                <w:szCs w:val="28"/>
                <w:highlight w:val="none"/>
                <w:lang w:val="en-US" w:eastAsia="zh-CN"/>
              </w:rPr>
              <w:t>出版社</w:t>
            </w:r>
            <w:r>
              <w:rPr>
                <w:rFonts w:hint="eastAsia" w:ascii="仿宋" w:hAnsi="仿宋" w:eastAsia="仿宋" w:cs="仿宋"/>
                <w:kern w:val="0"/>
                <w:sz w:val="28"/>
                <w:szCs w:val="28"/>
                <w:highlight w:val="none"/>
              </w:rPr>
              <w:t>有限</w:t>
            </w:r>
            <w:r>
              <w:rPr>
                <w:rFonts w:hint="eastAsia" w:ascii="仿宋" w:hAnsi="仿宋" w:eastAsia="仿宋" w:cs="仿宋"/>
                <w:kern w:val="0"/>
                <w:sz w:val="28"/>
                <w:szCs w:val="28"/>
                <w:highlight w:val="none"/>
                <w:lang w:val="en-US" w:eastAsia="zh-CN"/>
              </w:rPr>
              <w:t>责任</w:t>
            </w:r>
            <w:r>
              <w:rPr>
                <w:rFonts w:hint="eastAsia" w:ascii="仿宋" w:hAnsi="仿宋" w:eastAsia="仿宋" w:cs="仿宋"/>
                <w:kern w:val="0"/>
                <w:sz w:val="28"/>
                <w:szCs w:val="28"/>
                <w:highlight w:val="none"/>
              </w:rPr>
              <w:t>公司</w:t>
            </w:r>
            <w:r>
              <w:rPr>
                <w:rFonts w:hint="eastAsia" w:ascii="仿宋" w:hAnsi="仿宋" w:eastAsia="仿宋" w:cs="仿宋"/>
                <w:kern w:val="0"/>
                <w:sz w:val="28"/>
                <w:szCs w:val="28"/>
                <w:highlight w:val="none"/>
                <w:lang w:eastAsia="zh-CN"/>
              </w:rPr>
              <w:t>、</w:t>
            </w:r>
            <w:r>
              <w:rPr>
                <w:rFonts w:hint="eastAsia" w:ascii="仿宋" w:hAnsi="仿宋" w:eastAsia="仿宋" w:cs="仿宋"/>
                <w:kern w:val="0"/>
                <w:sz w:val="28"/>
                <w:szCs w:val="28"/>
                <w:highlight w:val="none"/>
                <w:lang w:val="en-US" w:eastAsia="zh-CN"/>
              </w:rPr>
              <w:t>华文国际传媒有限公司</w:t>
            </w:r>
          </w:p>
        </w:tc>
        <w:tc>
          <w:tcPr>
            <w:tcW w:w="1991" w:type="dxa"/>
            <w:gridSpan w:val="2"/>
            <w:vAlign w:val="center"/>
          </w:tcPr>
          <w:p w14:paraId="3D89A330">
            <w:pPr>
              <w:widowControl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项目名称</w:t>
            </w:r>
          </w:p>
        </w:tc>
        <w:tc>
          <w:tcPr>
            <w:tcW w:w="2985" w:type="dxa"/>
            <w:gridSpan w:val="2"/>
            <w:vAlign w:val="center"/>
          </w:tcPr>
          <w:p w14:paraId="07A709BE">
            <w:pPr>
              <w:widowControl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lang w:val="en-US" w:eastAsia="zh-CN"/>
              </w:rPr>
              <w:t>深圳出版社有限责任公司、华文国际传媒有限公司联合采购2年常年法律顾问服务</w:t>
            </w:r>
          </w:p>
        </w:tc>
      </w:tr>
      <w:tr w14:paraId="5612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vAlign w:val="center"/>
          </w:tcPr>
          <w:p w14:paraId="5F796232">
            <w:pPr>
              <w:widowControl w:val="0"/>
              <w:snapToGrid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响应供应商</w:t>
            </w:r>
          </w:p>
        </w:tc>
        <w:tc>
          <w:tcPr>
            <w:tcW w:w="2553" w:type="dxa"/>
            <w:gridSpan w:val="2"/>
            <w:vAlign w:val="center"/>
          </w:tcPr>
          <w:p w14:paraId="4EB911C6">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c>
          <w:tcPr>
            <w:tcW w:w="1991" w:type="dxa"/>
            <w:gridSpan w:val="2"/>
            <w:vAlign w:val="center"/>
          </w:tcPr>
          <w:p w14:paraId="2CEBAB34">
            <w:pPr>
              <w:widowControl w:val="0"/>
              <w:snapToGrid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供应商统一社会信用代码或其他登记证号码</w:t>
            </w:r>
          </w:p>
        </w:tc>
        <w:tc>
          <w:tcPr>
            <w:tcW w:w="2985" w:type="dxa"/>
            <w:gridSpan w:val="2"/>
            <w:vAlign w:val="center"/>
          </w:tcPr>
          <w:p w14:paraId="6813AE4C">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r>
      <w:tr w14:paraId="37598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vAlign w:val="center"/>
          </w:tcPr>
          <w:p w14:paraId="21B4FCF8">
            <w:pPr>
              <w:widowControl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b/>
                <w:bCs/>
                <w:kern w:val="0"/>
                <w:sz w:val="28"/>
                <w:szCs w:val="28"/>
                <w:highlight w:val="none"/>
              </w:rPr>
              <w:t>响应供应商相关人员情况</w:t>
            </w:r>
          </w:p>
        </w:tc>
      </w:tr>
      <w:tr w14:paraId="2A7EB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vAlign w:val="center"/>
          </w:tcPr>
          <w:p w14:paraId="0166BBD6">
            <w:pPr>
              <w:widowControl w:val="0"/>
              <w:snapToGrid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序号</w:t>
            </w:r>
          </w:p>
        </w:tc>
        <w:tc>
          <w:tcPr>
            <w:tcW w:w="2282" w:type="dxa"/>
            <w:gridSpan w:val="2"/>
            <w:tcBorders>
              <w:bottom w:val="single" w:color="auto" w:sz="4" w:space="0"/>
            </w:tcBorders>
            <w:vAlign w:val="center"/>
          </w:tcPr>
          <w:p w14:paraId="5D40BDE2">
            <w:pPr>
              <w:widowControl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职务</w:t>
            </w:r>
          </w:p>
        </w:tc>
        <w:tc>
          <w:tcPr>
            <w:tcW w:w="947" w:type="dxa"/>
            <w:tcBorders>
              <w:bottom w:val="single" w:color="auto" w:sz="4" w:space="0"/>
            </w:tcBorders>
            <w:vAlign w:val="center"/>
          </w:tcPr>
          <w:p w14:paraId="17C16956">
            <w:pPr>
              <w:widowControl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姓名</w:t>
            </w:r>
          </w:p>
        </w:tc>
        <w:tc>
          <w:tcPr>
            <w:tcW w:w="1991" w:type="dxa"/>
            <w:gridSpan w:val="2"/>
            <w:tcBorders>
              <w:bottom w:val="single" w:color="auto" w:sz="4" w:space="0"/>
            </w:tcBorders>
            <w:vAlign w:val="center"/>
          </w:tcPr>
          <w:p w14:paraId="71F2CC33">
            <w:pPr>
              <w:widowControl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身份证号码</w:t>
            </w:r>
          </w:p>
        </w:tc>
        <w:tc>
          <w:tcPr>
            <w:tcW w:w="1500" w:type="dxa"/>
            <w:tcBorders>
              <w:bottom w:val="single" w:color="auto" w:sz="4" w:space="0"/>
            </w:tcBorders>
            <w:vAlign w:val="center"/>
          </w:tcPr>
          <w:p w14:paraId="0A90B711">
            <w:pPr>
              <w:widowControl w:val="0"/>
              <w:snapToGrid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劳动合同</w:t>
            </w:r>
          </w:p>
          <w:p w14:paraId="6CCBC870">
            <w:pPr>
              <w:widowControl w:val="0"/>
              <w:snapToGrid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关系单位</w:t>
            </w:r>
          </w:p>
        </w:tc>
        <w:tc>
          <w:tcPr>
            <w:tcW w:w="1485" w:type="dxa"/>
            <w:tcBorders>
              <w:bottom w:val="single" w:color="auto" w:sz="4" w:space="0"/>
            </w:tcBorders>
            <w:vAlign w:val="center"/>
          </w:tcPr>
          <w:p w14:paraId="60D5528B">
            <w:pPr>
              <w:widowControl w:val="0"/>
              <w:snapToGrid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缴纳社会</w:t>
            </w:r>
          </w:p>
          <w:p w14:paraId="72CC8106">
            <w:pPr>
              <w:widowControl w:val="0"/>
              <w:snapToGrid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保险单位</w:t>
            </w:r>
          </w:p>
        </w:tc>
      </w:tr>
      <w:tr w14:paraId="6652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5B4881DD">
            <w:pPr>
              <w:widowControl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1</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07AADC8C">
            <w:pPr>
              <w:widowControl w:val="0"/>
              <w:spacing w:line="460" w:lineRule="exact"/>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法定代表人/单位负责人/主要经营负责人</w:t>
            </w:r>
          </w:p>
        </w:tc>
        <w:tc>
          <w:tcPr>
            <w:tcW w:w="947" w:type="dxa"/>
            <w:tcBorders>
              <w:top w:val="single" w:color="auto" w:sz="4" w:space="0"/>
              <w:left w:val="single" w:color="auto" w:sz="4" w:space="0"/>
              <w:bottom w:val="single" w:color="auto" w:sz="4" w:space="0"/>
              <w:right w:val="single" w:color="auto" w:sz="4" w:space="0"/>
            </w:tcBorders>
            <w:vAlign w:val="center"/>
          </w:tcPr>
          <w:p w14:paraId="40DB917E">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c>
          <w:tcPr>
            <w:tcW w:w="1991" w:type="dxa"/>
            <w:gridSpan w:val="2"/>
            <w:tcBorders>
              <w:top w:val="single" w:color="auto" w:sz="4" w:space="0"/>
              <w:left w:val="single" w:color="auto" w:sz="4" w:space="0"/>
              <w:bottom w:val="single" w:color="auto" w:sz="4" w:space="0"/>
              <w:right w:val="single" w:color="auto" w:sz="4" w:space="0"/>
            </w:tcBorders>
            <w:vAlign w:val="center"/>
          </w:tcPr>
          <w:p w14:paraId="4269762D">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62E7694C">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c>
          <w:tcPr>
            <w:tcW w:w="1485" w:type="dxa"/>
            <w:tcBorders>
              <w:top w:val="single" w:color="auto" w:sz="4" w:space="0"/>
              <w:left w:val="single" w:color="auto" w:sz="4" w:space="0"/>
              <w:bottom w:val="single" w:color="auto" w:sz="4" w:space="0"/>
              <w:right w:val="single" w:color="auto" w:sz="4" w:space="0"/>
            </w:tcBorders>
            <w:vAlign w:val="center"/>
          </w:tcPr>
          <w:p w14:paraId="62BF775A">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r>
      <w:tr w14:paraId="2ED06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tcBorders>
            <w:vAlign w:val="center"/>
          </w:tcPr>
          <w:p w14:paraId="48C2879E">
            <w:pPr>
              <w:widowControl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lang w:bidi="ar"/>
              </w:rPr>
              <w:t>2</w:t>
            </w:r>
          </w:p>
        </w:tc>
        <w:tc>
          <w:tcPr>
            <w:tcW w:w="2282" w:type="dxa"/>
            <w:gridSpan w:val="2"/>
            <w:tcBorders>
              <w:top w:val="single" w:color="auto" w:sz="4" w:space="0"/>
            </w:tcBorders>
            <w:vAlign w:val="center"/>
          </w:tcPr>
          <w:p w14:paraId="69D99575">
            <w:pPr>
              <w:widowControl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项目负责人/响应授权代表人</w:t>
            </w:r>
          </w:p>
        </w:tc>
        <w:tc>
          <w:tcPr>
            <w:tcW w:w="947" w:type="dxa"/>
            <w:tcBorders>
              <w:top w:val="single" w:color="auto" w:sz="4" w:space="0"/>
            </w:tcBorders>
            <w:vAlign w:val="center"/>
          </w:tcPr>
          <w:p w14:paraId="5B479A45">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c>
          <w:tcPr>
            <w:tcW w:w="1991" w:type="dxa"/>
            <w:gridSpan w:val="2"/>
            <w:tcBorders>
              <w:top w:val="single" w:color="auto" w:sz="4" w:space="0"/>
            </w:tcBorders>
            <w:vAlign w:val="center"/>
          </w:tcPr>
          <w:p w14:paraId="64F63111">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c>
          <w:tcPr>
            <w:tcW w:w="1500" w:type="dxa"/>
            <w:tcBorders>
              <w:top w:val="single" w:color="auto" w:sz="4" w:space="0"/>
            </w:tcBorders>
            <w:vAlign w:val="center"/>
          </w:tcPr>
          <w:p w14:paraId="53C53782">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c>
          <w:tcPr>
            <w:tcW w:w="1485" w:type="dxa"/>
            <w:tcBorders>
              <w:top w:val="single" w:color="auto" w:sz="4" w:space="0"/>
            </w:tcBorders>
            <w:vAlign w:val="center"/>
          </w:tcPr>
          <w:p w14:paraId="4FEF6A5D">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r>
      <w:tr w14:paraId="2749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4D1E39BC">
            <w:pPr>
              <w:widowControl w:val="0"/>
              <w:spacing w:line="240" w:lineRule="auto"/>
              <w:ind w:firstLine="0" w:firstLineChars="0"/>
              <w:jc w:val="center"/>
              <w:textAlignment w:val="auto"/>
              <w:rPr>
                <w:rFonts w:hint="eastAsia" w:ascii="仿宋" w:hAnsi="仿宋" w:eastAsia="仿宋" w:cs="仿宋"/>
                <w:kern w:val="0"/>
                <w:sz w:val="28"/>
                <w:szCs w:val="28"/>
                <w:highlight w:val="none"/>
                <w:lang w:val="en-US" w:eastAsia="zh-CN" w:bidi="ar"/>
              </w:rPr>
            </w:pPr>
            <w:r>
              <w:rPr>
                <w:rFonts w:hint="eastAsia" w:ascii="仿宋" w:hAnsi="仿宋" w:eastAsia="仿宋" w:cs="仿宋"/>
                <w:kern w:val="0"/>
                <w:sz w:val="28"/>
                <w:szCs w:val="28"/>
                <w:highlight w:val="none"/>
                <w:lang w:val="en-US" w:eastAsia="zh-CN" w:bidi="ar"/>
              </w:rPr>
              <w:t>3</w:t>
            </w:r>
          </w:p>
        </w:tc>
        <w:tc>
          <w:tcPr>
            <w:tcW w:w="2282" w:type="dxa"/>
            <w:gridSpan w:val="2"/>
            <w:vAlign w:val="center"/>
          </w:tcPr>
          <w:p w14:paraId="608112F9">
            <w:pPr>
              <w:widowControl w:val="0"/>
              <w:spacing w:line="240" w:lineRule="auto"/>
              <w:ind w:firstLine="0" w:firstLineChars="0"/>
              <w:jc w:val="center"/>
              <w:textAlignment w:val="auto"/>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项目主办律师</w:t>
            </w:r>
          </w:p>
        </w:tc>
        <w:tc>
          <w:tcPr>
            <w:tcW w:w="947" w:type="dxa"/>
            <w:vAlign w:val="center"/>
          </w:tcPr>
          <w:p w14:paraId="6B5B1E1B">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c>
          <w:tcPr>
            <w:tcW w:w="1991" w:type="dxa"/>
            <w:gridSpan w:val="2"/>
            <w:vAlign w:val="center"/>
          </w:tcPr>
          <w:p w14:paraId="270FF3B0">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c>
          <w:tcPr>
            <w:tcW w:w="1500" w:type="dxa"/>
            <w:vAlign w:val="center"/>
          </w:tcPr>
          <w:p w14:paraId="6D93521E">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c>
          <w:tcPr>
            <w:tcW w:w="1485" w:type="dxa"/>
            <w:vAlign w:val="center"/>
          </w:tcPr>
          <w:p w14:paraId="742CFC23">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r>
      <w:tr w14:paraId="6B628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0B1126D9">
            <w:pPr>
              <w:widowControl w:val="0"/>
              <w:spacing w:line="240" w:lineRule="auto"/>
              <w:ind w:firstLine="0" w:firstLineChars="0"/>
              <w:jc w:val="center"/>
              <w:textAlignment w:val="auto"/>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val="en-US" w:eastAsia="zh-CN" w:bidi="ar"/>
              </w:rPr>
              <w:t>4</w:t>
            </w:r>
          </w:p>
        </w:tc>
        <w:tc>
          <w:tcPr>
            <w:tcW w:w="2282" w:type="dxa"/>
            <w:gridSpan w:val="2"/>
            <w:vAlign w:val="center"/>
          </w:tcPr>
          <w:p w14:paraId="2C0C0B1B">
            <w:pPr>
              <w:widowControl w:val="0"/>
              <w:spacing w:line="240" w:lineRule="auto"/>
              <w:ind w:firstLine="0" w:firstLineChars="0"/>
              <w:jc w:val="center"/>
              <w:textAlignment w:val="auto"/>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rPr>
              <w:t>项目</w:t>
            </w:r>
            <w:r>
              <w:rPr>
                <w:rFonts w:hint="eastAsia" w:ascii="仿宋" w:hAnsi="仿宋" w:eastAsia="仿宋" w:cs="仿宋"/>
                <w:kern w:val="0"/>
                <w:sz w:val="28"/>
                <w:szCs w:val="28"/>
                <w:highlight w:val="none"/>
                <w:lang w:val="en-US" w:eastAsia="zh-CN"/>
              </w:rPr>
              <w:t>驻点律师</w:t>
            </w:r>
          </w:p>
        </w:tc>
        <w:tc>
          <w:tcPr>
            <w:tcW w:w="947" w:type="dxa"/>
            <w:vAlign w:val="center"/>
          </w:tcPr>
          <w:p w14:paraId="6512CE18">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c>
          <w:tcPr>
            <w:tcW w:w="1991" w:type="dxa"/>
            <w:gridSpan w:val="2"/>
            <w:vAlign w:val="center"/>
          </w:tcPr>
          <w:p w14:paraId="1D794CE8">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c>
          <w:tcPr>
            <w:tcW w:w="1500" w:type="dxa"/>
            <w:vAlign w:val="center"/>
          </w:tcPr>
          <w:p w14:paraId="5188201F">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c>
          <w:tcPr>
            <w:tcW w:w="1485" w:type="dxa"/>
            <w:vAlign w:val="center"/>
          </w:tcPr>
          <w:p w14:paraId="6E4515CF">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r>
      <w:tr w14:paraId="6FA22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14:paraId="3E5ADFFF">
            <w:pPr>
              <w:widowControl w:val="0"/>
              <w:spacing w:line="240" w:lineRule="auto"/>
              <w:ind w:firstLine="0" w:firstLineChars="0"/>
              <w:jc w:val="center"/>
              <w:textAlignment w:val="auto"/>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lang w:val="en-US" w:eastAsia="zh-CN" w:bidi="ar"/>
              </w:rPr>
              <w:t>5</w:t>
            </w:r>
          </w:p>
        </w:tc>
        <w:tc>
          <w:tcPr>
            <w:tcW w:w="2282" w:type="dxa"/>
            <w:gridSpan w:val="2"/>
            <w:vAlign w:val="center"/>
          </w:tcPr>
          <w:p w14:paraId="3F500DC8">
            <w:pPr>
              <w:widowControl w:val="0"/>
              <w:snapToGrid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响应文件编制人员</w:t>
            </w:r>
          </w:p>
        </w:tc>
        <w:tc>
          <w:tcPr>
            <w:tcW w:w="947" w:type="dxa"/>
            <w:vAlign w:val="center"/>
          </w:tcPr>
          <w:p w14:paraId="7D2D8AD1">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c>
          <w:tcPr>
            <w:tcW w:w="1991" w:type="dxa"/>
            <w:gridSpan w:val="2"/>
            <w:vAlign w:val="center"/>
          </w:tcPr>
          <w:p w14:paraId="573379F9">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c>
          <w:tcPr>
            <w:tcW w:w="1500" w:type="dxa"/>
            <w:vAlign w:val="center"/>
          </w:tcPr>
          <w:p w14:paraId="6CDB1DA5">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c>
          <w:tcPr>
            <w:tcW w:w="1485" w:type="dxa"/>
            <w:vAlign w:val="center"/>
          </w:tcPr>
          <w:p w14:paraId="2D0D3B21">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r>
      <w:tr w14:paraId="467D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vAlign w:val="center"/>
          </w:tcPr>
          <w:p w14:paraId="39FD53A0">
            <w:pPr>
              <w:widowControl w:val="0"/>
              <w:spacing w:line="240" w:lineRule="auto"/>
              <w:ind w:firstLine="0" w:firstLineChars="0"/>
              <w:textAlignment w:val="auto"/>
              <w:rPr>
                <w:rFonts w:hint="eastAsia" w:ascii="仿宋" w:hAnsi="仿宋" w:eastAsia="仿宋" w:cs="仿宋"/>
                <w:b/>
                <w:bCs/>
                <w:kern w:val="0"/>
                <w:sz w:val="28"/>
                <w:szCs w:val="28"/>
                <w:highlight w:val="none"/>
              </w:rPr>
            </w:pPr>
            <w:r>
              <w:rPr>
                <w:rFonts w:hint="eastAsia" w:ascii="仿宋" w:hAnsi="仿宋" w:eastAsia="仿宋" w:cs="仿宋"/>
                <w:b/>
                <w:bCs/>
                <w:kern w:val="0"/>
                <w:sz w:val="28"/>
                <w:szCs w:val="28"/>
                <w:highlight w:val="none"/>
              </w:rPr>
              <w:t>说明：同一职务有多人担任，应分行填写。</w:t>
            </w:r>
          </w:p>
        </w:tc>
      </w:tr>
      <w:tr w14:paraId="71E72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941" w:type="dxa"/>
            <w:gridSpan w:val="8"/>
            <w:vAlign w:val="center"/>
          </w:tcPr>
          <w:p w14:paraId="6817BE29">
            <w:pPr>
              <w:widowControl w:val="0"/>
              <w:spacing w:line="240" w:lineRule="auto"/>
              <w:ind w:firstLine="0" w:firstLineChars="0"/>
              <w:jc w:val="center"/>
              <w:textAlignment w:val="auto"/>
              <w:rPr>
                <w:rFonts w:hint="eastAsia" w:ascii="仿宋" w:hAnsi="仿宋" w:eastAsia="仿宋" w:cs="仿宋"/>
                <w:b/>
                <w:bCs/>
                <w:kern w:val="0"/>
                <w:sz w:val="28"/>
                <w:szCs w:val="28"/>
                <w:highlight w:val="none"/>
              </w:rPr>
            </w:pPr>
            <w:r>
              <w:rPr>
                <w:rFonts w:hint="eastAsia" w:ascii="仿宋" w:hAnsi="仿宋" w:eastAsia="仿宋" w:cs="仿宋"/>
                <w:b/>
                <w:bCs/>
                <w:kern w:val="0"/>
                <w:sz w:val="28"/>
                <w:szCs w:val="28"/>
                <w:highlight w:val="none"/>
              </w:rPr>
              <w:t>响应供应商关联关系情况</w:t>
            </w:r>
          </w:p>
        </w:tc>
      </w:tr>
      <w:tr w14:paraId="7271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bottom w:val="single" w:color="auto" w:sz="4" w:space="0"/>
            </w:tcBorders>
            <w:vAlign w:val="center"/>
          </w:tcPr>
          <w:p w14:paraId="4BD1F6BD">
            <w:pPr>
              <w:widowControl w:val="0"/>
              <w:spacing w:line="240" w:lineRule="auto"/>
              <w:ind w:firstLine="0" w:firstLineChars="0"/>
              <w:jc w:val="center"/>
              <w:textAlignment w:val="auto"/>
              <w:rPr>
                <w:rFonts w:hint="eastAsia" w:ascii="仿宋" w:hAnsi="仿宋" w:eastAsia="仿宋" w:cs="仿宋"/>
                <w:kern w:val="0"/>
                <w:sz w:val="28"/>
                <w:szCs w:val="28"/>
                <w:highlight w:val="none"/>
                <w:lang w:bidi="ar"/>
              </w:rPr>
            </w:pPr>
            <w:r>
              <w:rPr>
                <w:rFonts w:hint="eastAsia" w:ascii="仿宋" w:hAnsi="仿宋" w:eastAsia="仿宋" w:cs="仿宋"/>
                <w:kern w:val="0"/>
                <w:sz w:val="28"/>
                <w:szCs w:val="28"/>
                <w:highlight w:val="none"/>
                <w:lang w:bidi="ar"/>
              </w:rPr>
              <w:t>序号</w:t>
            </w:r>
          </w:p>
        </w:tc>
        <w:tc>
          <w:tcPr>
            <w:tcW w:w="2282" w:type="dxa"/>
            <w:gridSpan w:val="2"/>
            <w:tcBorders>
              <w:bottom w:val="single" w:color="auto" w:sz="4" w:space="0"/>
            </w:tcBorders>
            <w:vAlign w:val="center"/>
          </w:tcPr>
          <w:p w14:paraId="50F38268">
            <w:pPr>
              <w:widowControl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关联关系类型</w:t>
            </w:r>
          </w:p>
        </w:tc>
        <w:tc>
          <w:tcPr>
            <w:tcW w:w="1738" w:type="dxa"/>
            <w:gridSpan w:val="2"/>
            <w:tcBorders>
              <w:bottom w:val="single" w:color="auto" w:sz="4" w:space="0"/>
            </w:tcBorders>
            <w:vAlign w:val="center"/>
          </w:tcPr>
          <w:p w14:paraId="28DEB024">
            <w:pPr>
              <w:widowControl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关联主体名称</w:t>
            </w:r>
          </w:p>
        </w:tc>
        <w:tc>
          <w:tcPr>
            <w:tcW w:w="4185" w:type="dxa"/>
            <w:gridSpan w:val="3"/>
            <w:tcBorders>
              <w:bottom w:val="single" w:color="auto" w:sz="4" w:space="0"/>
            </w:tcBorders>
            <w:vAlign w:val="center"/>
          </w:tcPr>
          <w:p w14:paraId="02181F30">
            <w:pPr>
              <w:widowControl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备注</w:t>
            </w:r>
          </w:p>
        </w:tc>
      </w:tr>
      <w:tr w14:paraId="162A8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78070558">
            <w:pPr>
              <w:widowControl w:val="0"/>
              <w:spacing w:line="240" w:lineRule="auto"/>
              <w:ind w:firstLine="0" w:firstLineChars="0"/>
              <w:jc w:val="center"/>
              <w:textAlignment w:val="auto"/>
              <w:rPr>
                <w:rFonts w:hint="eastAsia" w:ascii="仿宋" w:hAnsi="仿宋" w:eastAsia="仿宋" w:cs="仿宋"/>
                <w:kern w:val="0"/>
                <w:sz w:val="28"/>
                <w:szCs w:val="28"/>
                <w:highlight w:val="none"/>
                <w:lang w:bidi="ar"/>
              </w:rPr>
            </w:pPr>
            <w:r>
              <w:rPr>
                <w:rFonts w:hint="eastAsia" w:ascii="仿宋" w:hAnsi="仿宋" w:eastAsia="仿宋" w:cs="仿宋"/>
                <w:kern w:val="0"/>
                <w:sz w:val="28"/>
                <w:szCs w:val="28"/>
                <w:highlight w:val="none"/>
                <w:lang w:bidi="ar"/>
              </w:rPr>
              <w:t>1</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40650A9D">
            <w:pPr>
              <w:widowControl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控股股东</w:t>
            </w: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7F54F66F">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c>
          <w:tcPr>
            <w:tcW w:w="4185" w:type="dxa"/>
            <w:gridSpan w:val="3"/>
            <w:tcBorders>
              <w:top w:val="single" w:color="auto" w:sz="4" w:space="0"/>
              <w:left w:val="single" w:color="auto" w:sz="4" w:space="0"/>
              <w:bottom w:val="single" w:color="auto" w:sz="4" w:space="0"/>
              <w:right w:val="single" w:color="auto" w:sz="4" w:space="0"/>
            </w:tcBorders>
            <w:vAlign w:val="center"/>
          </w:tcPr>
          <w:p w14:paraId="797EF283">
            <w:pPr>
              <w:widowControl w:val="0"/>
              <w:snapToGrid w:val="0"/>
              <w:spacing w:line="240" w:lineRule="auto"/>
              <w:ind w:firstLine="0" w:firstLineChars="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指出资额（或持有股份）占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0ED01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tcBorders>
              <w:top w:val="single" w:color="auto" w:sz="4" w:space="0"/>
              <w:left w:val="single" w:color="auto" w:sz="4" w:space="0"/>
              <w:bottom w:val="single" w:color="auto" w:sz="4" w:space="0"/>
              <w:right w:val="single" w:color="auto" w:sz="4" w:space="0"/>
            </w:tcBorders>
            <w:vAlign w:val="center"/>
          </w:tcPr>
          <w:p w14:paraId="78394863">
            <w:pPr>
              <w:widowControl w:val="0"/>
              <w:spacing w:line="240" w:lineRule="auto"/>
              <w:ind w:firstLine="0" w:firstLineChars="0"/>
              <w:jc w:val="center"/>
              <w:textAlignment w:val="auto"/>
              <w:rPr>
                <w:rFonts w:hint="eastAsia" w:ascii="仿宋" w:hAnsi="仿宋" w:eastAsia="仿宋" w:cs="仿宋"/>
                <w:kern w:val="0"/>
                <w:sz w:val="28"/>
                <w:szCs w:val="28"/>
                <w:highlight w:val="none"/>
                <w:lang w:bidi="ar"/>
              </w:rPr>
            </w:pPr>
            <w:r>
              <w:rPr>
                <w:rFonts w:hint="eastAsia" w:ascii="仿宋" w:hAnsi="仿宋" w:eastAsia="仿宋" w:cs="仿宋"/>
                <w:kern w:val="0"/>
                <w:sz w:val="28"/>
                <w:szCs w:val="28"/>
                <w:highlight w:val="none"/>
                <w:lang w:bidi="ar"/>
              </w:rPr>
              <w:t>2</w:t>
            </w:r>
          </w:p>
        </w:tc>
        <w:tc>
          <w:tcPr>
            <w:tcW w:w="2282" w:type="dxa"/>
            <w:gridSpan w:val="2"/>
            <w:tcBorders>
              <w:top w:val="single" w:color="auto" w:sz="4" w:space="0"/>
              <w:left w:val="single" w:color="auto" w:sz="4" w:space="0"/>
              <w:bottom w:val="single" w:color="auto" w:sz="4" w:space="0"/>
              <w:right w:val="single" w:color="auto" w:sz="4" w:space="0"/>
            </w:tcBorders>
            <w:vAlign w:val="center"/>
          </w:tcPr>
          <w:p w14:paraId="489B0031">
            <w:pPr>
              <w:widowControl w:val="0"/>
              <w:spacing w:line="240" w:lineRule="auto"/>
              <w:ind w:firstLine="0" w:firstLineChars="0"/>
              <w:jc w:val="center"/>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管理关系</w:t>
            </w: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7D6325F3">
            <w:pPr>
              <w:widowControl w:val="0"/>
              <w:spacing w:line="240" w:lineRule="auto"/>
              <w:ind w:firstLine="0" w:firstLineChars="0"/>
              <w:jc w:val="center"/>
              <w:textAlignment w:val="auto"/>
              <w:rPr>
                <w:rFonts w:hint="eastAsia" w:ascii="仿宋" w:hAnsi="仿宋" w:eastAsia="仿宋" w:cs="仿宋"/>
                <w:kern w:val="0"/>
                <w:sz w:val="28"/>
                <w:szCs w:val="28"/>
                <w:highlight w:val="none"/>
              </w:rPr>
            </w:pPr>
          </w:p>
        </w:tc>
        <w:tc>
          <w:tcPr>
            <w:tcW w:w="4185" w:type="dxa"/>
            <w:gridSpan w:val="3"/>
            <w:tcBorders>
              <w:top w:val="single" w:color="auto" w:sz="4" w:space="0"/>
              <w:left w:val="single" w:color="auto" w:sz="4" w:space="0"/>
              <w:bottom w:val="single" w:color="auto" w:sz="4" w:space="0"/>
              <w:right w:val="single" w:color="auto" w:sz="4" w:space="0"/>
            </w:tcBorders>
            <w:vAlign w:val="center"/>
          </w:tcPr>
          <w:p w14:paraId="5FB3C66C">
            <w:pPr>
              <w:widowControl w:val="0"/>
              <w:snapToGrid w:val="0"/>
              <w:spacing w:line="240" w:lineRule="auto"/>
              <w:ind w:firstLine="0" w:firstLineChars="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指对响应供应商不具有出资持股关系，但对其存在管理关系的主体。</w:t>
            </w:r>
          </w:p>
        </w:tc>
      </w:tr>
      <w:tr w14:paraId="20526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vAlign w:val="center"/>
          </w:tcPr>
          <w:p w14:paraId="5F9633E9">
            <w:pPr>
              <w:widowControl w:val="0"/>
              <w:snapToGrid w:val="0"/>
              <w:spacing w:line="240" w:lineRule="auto"/>
              <w:ind w:firstLine="0" w:firstLineChars="0"/>
              <w:textAlignment w:val="auto"/>
              <w:rPr>
                <w:rFonts w:hint="eastAsia" w:ascii="仿宋" w:hAnsi="仿宋" w:eastAsia="仿宋" w:cs="仿宋"/>
                <w:kern w:val="0"/>
                <w:sz w:val="28"/>
                <w:szCs w:val="28"/>
                <w:highlight w:val="none"/>
              </w:rPr>
            </w:pPr>
            <w:r>
              <w:rPr>
                <w:rFonts w:hint="eastAsia" w:ascii="仿宋" w:hAnsi="仿宋" w:eastAsia="仿宋" w:cs="仿宋"/>
                <w:b/>
                <w:bCs/>
                <w:kern w:val="0"/>
                <w:sz w:val="28"/>
                <w:szCs w:val="28"/>
                <w:highlight w:val="none"/>
              </w:rPr>
              <w:t>说明：同一关联关系类型有多个主体的，应分行填写。</w:t>
            </w:r>
          </w:p>
        </w:tc>
      </w:tr>
    </w:tbl>
    <w:p w14:paraId="146534D6">
      <w:pPr>
        <w:ind w:firstLine="480"/>
        <w:rPr>
          <w:rStyle w:val="61"/>
          <w:rFonts w:hint="eastAsia" w:ascii="仿宋" w:hAnsi="仿宋" w:eastAsia="仿宋" w:cs="仿宋"/>
          <w:kern w:val="44"/>
          <w:sz w:val="28"/>
          <w:szCs w:val="28"/>
          <w:highlight w:val="none"/>
        </w:rPr>
      </w:pPr>
    </w:p>
    <w:p w14:paraId="323E4C64">
      <w:pPr>
        <w:shd w:val="clear"/>
        <w:spacing w:line="560" w:lineRule="exact"/>
        <w:ind w:left="0" w:leftChars="0" w:firstLine="0" w:firstLineChars="0"/>
        <w:rPr>
          <w:b/>
          <w:bCs/>
          <w:highlight w:val="none"/>
        </w:rPr>
      </w:pPr>
    </w:p>
    <w:sectPr>
      <w:headerReference r:id="rId13" w:type="default"/>
      <w:footerReference r:id="rId14" w:type="default"/>
      <w:pgSz w:w="11906" w:h="16838"/>
      <w:pgMar w:top="1440" w:right="1800" w:bottom="1440" w:left="1800" w:header="283" w:footer="57" w:gutter="0"/>
      <w:pgNumType w:fmt="decimal"/>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76B6065-B288-45E3-BF36-9C07EED45DA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B67F062A-75B7-4F59-A168-D99679FBD300}"/>
  </w:font>
  <w:font w:name="等线 Light">
    <w:panose1 w:val="02010600030101010101"/>
    <w:charset w:val="86"/>
    <w:family w:val="auto"/>
    <w:pitch w:val="default"/>
    <w:sig w:usb0="A00002BF" w:usb1="38CF7CFA" w:usb2="00000016" w:usb3="00000000" w:csb0="0004000F" w:csb1="00000000"/>
    <w:embedRegular r:id="rId3" w:fontKey="{7EC1F6C6-FE21-41FF-BF74-B72847B7A4BB}"/>
  </w:font>
  <w:font w:name="等线">
    <w:panose1 w:val="02010600030101010101"/>
    <w:charset w:val="86"/>
    <w:family w:val="auto"/>
    <w:pitch w:val="default"/>
    <w:sig w:usb0="A00002BF" w:usb1="38CF7CFA" w:usb2="00000016" w:usb3="00000000" w:csb0="0004000F" w:csb1="00000000"/>
    <w:embedRegular r:id="rId4" w:fontKey="{7D2E3FC5-249F-4F17-9CF9-DD49ADC48339}"/>
  </w:font>
  <w:font w:name="仿宋">
    <w:panose1 w:val="02010609060101010101"/>
    <w:charset w:val="86"/>
    <w:family w:val="modern"/>
    <w:pitch w:val="default"/>
    <w:sig w:usb0="800002BF" w:usb1="38CF7CFA" w:usb2="00000016" w:usb3="00000000" w:csb0="00040001" w:csb1="00000000"/>
    <w:embedRegular r:id="rId5" w:fontKey="{C6AFDE72-61D0-4002-8D82-7D4416CD5E42}"/>
  </w:font>
  <w:font w:name="楷体">
    <w:panose1 w:val="02010609060101010101"/>
    <w:charset w:val="86"/>
    <w:family w:val="modern"/>
    <w:pitch w:val="default"/>
    <w:sig w:usb0="800002BF" w:usb1="38CF7CFA" w:usb2="00000016" w:usb3="00000000" w:csb0="00040001" w:csb1="00000000"/>
    <w:embedRegular r:id="rId6" w:fontKey="{E497CC4D-81FE-445D-9B9E-A012B7C3C58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F32F5">
    <w:pPr>
      <w:pStyle w:val="14"/>
      <w:ind w:right="360" w:firstLine="360"/>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999167940"/>
                            <w:showingPlcHdr/>
                          </w:sdtPr>
                          <w:sdtContent>
                            <w:p w14:paraId="47D18D33">
                              <w:pPr>
                                <w:pStyle w:val="14"/>
                                <w:ind w:right="90" w:firstLine="360"/>
                                <w:jc w:val="right"/>
                              </w:pPr>
                              <w:r>
                                <w:t xml:space="preserve">     </w:t>
                              </w:r>
                            </w:p>
                          </w:sdtContent>
                        </w:sdt>
                        <w:p w14:paraId="4D22CBBF">
                          <w:pPr>
                            <w:ind w:firstLine="5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sdt>
                    <w:sdtPr>
                      <w:id w:val="999167940"/>
                      <w:showingPlcHdr/>
                    </w:sdtPr>
                    <w:sdtContent>
                      <w:p w14:paraId="47D18D33">
                        <w:pPr>
                          <w:pStyle w:val="14"/>
                          <w:ind w:right="90" w:firstLine="360"/>
                          <w:jc w:val="right"/>
                        </w:pPr>
                        <w:r>
                          <w:t xml:space="preserve">     </w:t>
                        </w:r>
                      </w:p>
                    </w:sdtContent>
                  </w:sdt>
                  <w:p w14:paraId="4D22CBBF">
                    <w:pPr>
                      <w:ind w:firstLine="560"/>
                    </w:pPr>
                  </w:p>
                </w:txbxContent>
              </v:textbox>
            </v:shape>
          </w:pict>
        </mc:Fallback>
      </mc:AlternateContent>
    </w:r>
  </w:p>
  <w:p w14:paraId="6852BBE4">
    <w:pPr>
      <w:pStyle w:val="1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B2778">
    <w:pPr>
      <w:pStyle w:val="1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CEBF5">
    <w:pPr>
      <w:pStyle w:val="1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C82EF">
    <w:pPr>
      <w:pStyle w:val="14"/>
      <w:ind w:right="360" w:firstLine="360"/>
      <w:jc w:val="righ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FCDC4F">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8FCDC4F">
                    <w:pPr>
                      <w:pStyle w:val="14"/>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1839"/>
                            <w:showingPlcHdr/>
                          </w:sdtPr>
                          <w:sdtContent>
                            <w:p w14:paraId="57696DF0">
                              <w:pPr>
                                <w:pStyle w:val="14"/>
                                <w:ind w:right="90" w:firstLine="360"/>
                                <w:jc w:val="right"/>
                              </w:pPr>
                              <w:r>
                                <w:t xml:space="preserve">     </w:t>
                              </w:r>
                            </w:p>
                          </w:sdtContent>
                        </w:sdt>
                        <w:p w14:paraId="02AB7798">
                          <w:pPr>
                            <w:ind w:firstLine="5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47451839"/>
                      <w:showingPlcHdr/>
                    </w:sdtPr>
                    <w:sdtContent>
                      <w:p w14:paraId="57696DF0">
                        <w:pPr>
                          <w:pStyle w:val="14"/>
                          <w:ind w:right="90" w:firstLine="360"/>
                          <w:jc w:val="right"/>
                        </w:pPr>
                        <w:r>
                          <w:t xml:space="preserve">     </w:t>
                        </w:r>
                      </w:p>
                    </w:sdtContent>
                  </w:sdt>
                  <w:p w14:paraId="02AB7798">
                    <w:pPr>
                      <w:ind w:firstLine="560"/>
                    </w:pPr>
                  </w:p>
                </w:txbxContent>
              </v:textbox>
            </v:shape>
          </w:pict>
        </mc:Fallback>
      </mc:AlternateContent>
    </w:r>
  </w:p>
  <w:p w14:paraId="4FF804A8">
    <w:pPr>
      <w:pStyle w:val="14"/>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6F767">
    <w:pPr>
      <w:pStyle w:val="14"/>
      <w:ind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656A7E">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6656A7E">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B060A">
    <w:pPr>
      <w:pStyle w:val="14"/>
      <w:ind w:firstLine="0" w:firstLineChars="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8A7C4D">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58A7C4D">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E3EFC">
    <w:pPr>
      <w:pStyle w:val="15"/>
    </w:pPr>
    <w:r>
      <w:rPr>
        <w:rFonts w:hint="eastAsia" w:ascii="仿宋" w:hAnsi="仿宋" w:eastAsia="仿宋"/>
      </w:rPr>
      <w:t xml:space="preserve">深圳出版社有限责任公司、华文国际传媒有限公司常年法律顾问服务竞争性谈判采购文件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59963">
    <w:pPr>
      <w:pStyle w:val="1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52313">
    <w:pPr>
      <w:pStyle w:val="15"/>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C8EE8">
    <w:pPr>
      <w:pStyle w:val="15"/>
      <w:ind w:left="0" w:leftChars="0" w:firstLine="0" w:firstLineChars="0"/>
      <w:jc w:val="left"/>
    </w:pPr>
    <w:r>
      <w:rPr>
        <w:rFonts w:hint="eastAsia" w:ascii="仿宋" w:hAnsi="仿宋" w:eastAsia="仿宋"/>
      </w:rPr>
      <w:t xml:space="preserve">深圳出版社有限责任公司、华文国际传媒有限公司常年法律顾问服务竞争性谈判采购文件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F6C7F4"/>
    <w:multiLevelType w:val="singleLevel"/>
    <w:tmpl w:val="ACF6C7F4"/>
    <w:lvl w:ilvl="0" w:tentative="0">
      <w:start w:val="2"/>
      <w:numFmt w:val="chineseCounting"/>
      <w:suff w:val="space"/>
      <w:lvlText w:val="第%1章"/>
      <w:lvlJc w:val="left"/>
      <w:pPr>
        <w:ind w:left="2040"/>
      </w:pPr>
      <w:rPr>
        <w:rFonts w:hint="eastAsia"/>
      </w:rPr>
    </w:lvl>
  </w:abstractNum>
  <w:abstractNum w:abstractNumId="1">
    <w:nsid w:val="D294CE50"/>
    <w:multiLevelType w:val="singleLevel"/>
    <w:tmpl w:val="D294CE50"/>
    <w:lvl w:ilvl="0" w:tentative="0">
      <w:start w:val="1"/>
      <w:numFmt w:val="chineseCounting"/>
      <w:suff w:val="nothing"/>
      <w:lvlText w:val="%1、"/>
      <w:lvlJc w:val="left"/>
      <w:pPr>
        <w:ind w:left="0" w:firstLine="420"/>
      </w:pPr>
      <w:rPr>
        <w:rFonts w:hint="eastAsia"/>
      </w:rPr>
    </w:lvl>
  </w:abstractNum>
  <w:abstractNum w:abstractNumId="2">
    <w:nsid w:val="30821D95"/>
    <w:multiLevelType w:val="multilevel"/>
    <w:tmpl w:val="30821D95"/>
    <w:lvl w:ilvl="0" w:tentative="0">
      <w:start w:val="1"/>
      <w:numFmt w:val="decimal"/>
      <w:lvlText w:val="%1."/>
      <w:lvlJc w:val="left"/>
      <w:pPr>
        <w:ind w:left="1000" w:hanging="440"/>
      </w:p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3">
    <w:nsid w:val="3EE11100"/>
    <w:multiLevelType w:val="multilevel"/>
    <w:tmpl w:val="3EE11100"/>
    <w:lvl w:ilvl="0" w:tentative="0">
      <w:start w:val="1"/>
      <w:numFmt w:val="chineseCountingThousand"/>
      <w:lvlText w:val="(%1)"/>
      <w:lvlJc w:val="left"/>
      <w:pPr>
        <w:ind w:left="1000" w:hanging="440"/>
      </w:pPr>
      <w:rPr>
        <w:rFonts w:ascii="黑体" w:hAnsi="黑体" w:eastAsia="黑体"/>
        <w:color w:val="auto"/>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4">
    <w:nsid w:val="6FF01FFF"/>
    <w:multiLevelType w:val="multilevel"/>
    <w:tmpl w:val="6FF01FFF"/>
    <w:lvl w:ilvl="0" w:tentative="0">
      <w:start w:val="1"/>
      <w:numFmt w:val="decimal"/>
      <w:lvlText w:val="%1."/>
      <w:lvlJc w:val="left"/>
      <w:pPr>
        <w:ind w:left="1000" w:hanging="440"/>
      </w:p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5">
    <w:nsid w:val="738D2832"/>
    <w:multiLevelType w:val="singleLevel"/>
    <w:tmpl w:val="738D2832"/>
    <w:lvl w:ilvl="0" w:tentative="0">
      <w:start w:val="1"/>
      <w:numFmt w:val="decimal"/>
      <w:lvlText w:val="%1."/>
      <w:lvlJc w:val="left"/>
      <w:pPr>
        <w:tabs>
          <w:tab w:val="left" w:pos="312"/>
        </w:tabs>
      </w:pPr>
    </w:lvl>
  </w:abstractNum>
  <w:num w:numId="1">
    <w:abstractNumId w:val="3"/>
  </w:num>
  <w:num w:numId="2">
    <w:abstractNumId w:val="4"/>
  </w:num>
  <w:num w:numId="3">
    <w:abstractNumId w:val="2"/>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72"/>
  <w:drawingGridHorizontalSpacing w:val="140"/>
  <w:drawingGridVerticalSpacing w:val="38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UzNjBiODUxZTI2YzE4ZmMxZDRmN2IxYmFkMjRhMGQifQ=="/>
    <w:docVar w:name="KSO_WPS_MARK_KEY" w:val="b22a1b17-d70d-48a1-a8ff-914f0e01e8b5"/>
  </w:docVars>
  <w:rsids>
    <w:rsidRoot w:val="00984F1B"/>
    <w:rsid w:val="00001614"/>
    <w:rsid w:val="00001977"/>
    <w:rsid w:val="00003258"/>
    <w:rsid w:val="000035AA"/>
    <w:rsid w:val="00006572"/>
    <w:rsid w:val="00007E22"/>
    <w:rsid w:val="000103A4"/>
    <w:rsid w:val="00013011"/>
    <w:rsid w:val="000139C9"/>
    <w:rsid w:val="00013C53"/>
    <w:rsid w:val="00014118"/>
    <w:rsid w:val="00016D55"/>
    <w:rsid w:val="00017B70"/>
    <w:rsid w:val="000221A3"/>
    <w:rsid w:val="000221B4"/>
    <w:rsid w:val="0002313E"/>
    <w:rsid w:val="000235F9"/>
    <w:rsid w:val="00023C82"/>
    <w:rsid w:val="00026400"/>
    <w:rsid w:val="0002654D"/>
    <w:rsid w:val="00027A9F"/>
    <w:rsid w:val="00030B4F"/>
    <w:rsid w:val="00030D38"/>
    <w:rsid w:val="0003172F"/>
    <w:rsid w:val="00031C99"/>
    <w:rsid w:val="000337CA"/>
    <w:rsid w:val="0003451A"/>
    <w:rsid w:val="00037117"/>
    <w:rsid w:val="000378DF"/>
    <w:rsid w:val="00041295"/>
    <w:rsid w:val="0004182A"/>
    <w:rsid w:val="00044246"/>
    <w:rsid w:val="000522DF"/>
    <w:rsid w:val="000523A4"/>
    <w:rsid w:val="00053CCE"/>
    <w:rsid w:val="00054374"/>
    <w:rsid w:val="00056146"/>
    <w:rsid w:val="0005765C"/>
    <w:rsid w:val="00060AA3"/>
    <w:rsid w:val="00060C78"/>
    <w:rsid w:val="00060DA5"/>
    <w:rsid w:val="000615C3"/>
    <w:rsid w:val="00062813"/>
    <w:rsid w:val="00063393"/>
    <w:rsid w:val="00064D3F"/>
    <w:rsid w:val="00065F2F"/>
    <w:rsid w:val="00070AAE"/>
    <w:rsid w:val="000722A9"/>
    <w:rsid w:val="00072476"/>
    <w:rsid w:val="00072486"/>
    <w:rsid w:val="00075A38"/>
    <w:rsid w:val="000768E3"/>
    <w:rsid w:val="00081F55"/>
    <w:rsid w:val="0008241B"/>
    <w:rsid w:val="000836FC"/>
    <w:rsid w:val="0008433F"/>
    <w:rsid w:val="00084CD6"/>
    <w:rsid w:val="00084DEC"/>
    <w:rsid w:val="00086F06"/>
    <w:rsid w:val="00086FBD"/>
    <w:rsid w:val="00091632"/>
    <w:rsid w:val="00092900"/>
    <w:rsid w:val="000950E1"/>
    <w:rsid w:val="0009560C"/>
    <w:rsid w:val="00095EC4"/>
    <w:rsid w:val="000A2251"/>
    <w:rsid w:val="000A2F67"/>
    <w:rsid w:val="000A32F3"/>
    <w:rsid w:val="000A6405"/>
    <w:rsid w:val="000A6566"/>
    <w:rsid w:val="000A6A2D"/>
    <w:rsid w:val="000B1569"/>
    <w:rsid w:val="000B5627"/>
    <w:rsid w:val="000B58FB"/>
    <w:rsid w:val="000B5A3B"/>
    <w:rsid w:val="000B623C"/>
    <w:rsid w:val="000B6343"/>
    <w:rsid w:val="000B6569"/>
    <w:rsid w:val="000B6AB9"/>
    <w:rsid w:val="000B6FDB"/>
    <w:rsid w:val="000C1549"/>
    <w:rsid w:val="000C59F8"/>
    <w:rsid w:val="000C6191"/>
    <w:rsid w:val="000C7B75"/>
    <w:rsid w:val="000D03CB"/>
    <w:rsid w:val="000D07EE"/>
    <w:rsid w:val="000D20DE"/>
    <w:rsid w:val="000D2466"/>
    <w:rsid w:val="000D4337"/>
    <w:rsid w:val="000D522C"/>
    <w:rsid w:val="000D5D69"/>
    <w:rsid w:val="000D6661"/>
    <w:rsid w:val="000E1B8F"/>
    <w:rsid w:val="000E1D1F"/>
    <w:rsid w:val="000E2F72"/>
    <w:rsid w:val="000E322F"/>
    <w:rsid w:val="000E40D7"/>
    <w:rsid w:val="000E55A0"/>
    <w:rsid w:val="000E5CBF"/>
    <w:rsid w:val="000F0157"/>
    <w:rsid w:val="000F03AB"/>
    <w:rsid w:val="000F0CBE"/>
    <w:rsid w:val="000F2032"/>
    <w:rsid w:val="000F3BEC"/>
    <w:rsid w:val="000F4106"/>
    <w:rsid w:val="000F6466"/>
    <w:rsid w:val="000F7D48"/>
    <w:rsid w:val="001014A5"/>
    <w:rsid w:val="00102DAB"/>
    <w:rsid w:val="001054A4"/>
    <w:rsid w:val="001065B8"/>
    <w:rsid w:val="00107D84"/>
    <w:rsid w:val="00110128"/>
    <w:rsid w:val="001107CD"/>
    <w:rsid w:val="001158D0"/>
    <w:rsid w:val="0011655F"/>
    <w:rsid w:val="00116657"/>
    <w:rsid w:val="0011734C"/>
    <w:rsid w:val="00117401"/>
    <w:rsid w:val="00117A65"/>
    <w:rsid w:val="00117E64"/>
    <w:rsid w:val="0012044E"/>
    <w:rsid w:val="00122353"/>
    <w:rsid w:val="001228C8"/>
    <w:rsid w:val="00122D0F"/>
    <w:rsid w:val="0012677F"/>
    <w:rsid w:val="00126E7E"/>
    <w:rsid w:val="00126FCB"/>
    <w:rsid w:val="0013170A"/>
    <w:rsid w:val="00131F2F"/>
    <w:rsid w:val="0013564D"/>
    <w:rsid w:val="00141EDE"/>
    <w:rsid w:val="0014225F"/>
    <w:rsid w:val="00142CCC"/>
    <w:rsid w:val="0015047D"/>
    <w:rsid w:val="001516ED"/>
    <w:rsid w:val="001543B8"/>
    <w:rsid w:val="0015445B"/>
    <w:rsid w:val="00155020"/>
    <w:rsid w:val="00155C35"/>
    <w:rsid w:val="00156A05"/>
    <w:rsid w:val="001608F9"/>
    <w:rsid w:val="00160B71"/>
    <w:rsid w:val="00162057"/>
    <w:rsid w:val="00163BF2"/>
    <w:rsid w:val="00163CE3"/>
    <w:rsid w:val="001646B1"/>
    <w:rsid w:val="00164906"/>
    <w:rsid w:val="00164DAB"/>
    <w:rsid w:val="00165939"/>
    <w:rsid w:val="00172AF9"/>
    <w:rsid w:val="001735FE"/>
    <w:rsid w:val="00173788"/>
    <w:rsid w:val="00174E5B"/>
    <w:rsid w:val="00175200"/>
    <w:rsid w:val="0017573C"/>
    <w:rsid w:val="00181077"/>
    <w:rsid w:val="001817A6"/>
    <w:rsid w:val="00184CA8"/>
    <w:rsid w:val="00186D8E"/>
    <w:rsid w:val="00186EB4"/>
    <w:rsid w:val="0018796A"/>
    <w:rsid w:val="00187B53"/>
    <w:rsid w:val="00191CC3"/>
    <w:rsid w:val="00193664"/>
    <w:rsid w:val="001A0554"/>
    <w:rsid w:val="001A0776"/>
    <w:rsid w:val="001A1874"/>
    <w:rsid w:val="001A3EB3"/>
    <w:rsid w:val="001A432E"/>
    <w:rsid w:val="001B03E9"/>
    <w:rsid w:val="001B07D3"/>
    <w:rsid w:val="001B3595"/>
    <w:rsid w:val="001B5321"/>
    <w:rsid w:val="001B5BE3"/>
    <w:rsid w:val="001B5E72"/>
    <w:rsid w:val="001C1567"/>
    <w:rsid w:val="001C1E2C"/>
    <w:rsid w:val="001C247E"/>
    <w:rsid w:val="001C27B8"/>
    <w:rsid w:val="001C454F"/>
    <w:rsid w:val="001C5B75"/>
    <w:rsid w:val="001D0E7C"/>
    <w:rsid w:val="001D12D9"/>
    <w:rsid w:val="001D2D6F"/>
    <w:rsid w:val="001D37FA"/>
    <w:rsid w:val="001D392F"/>
    <w:rsid w:val="001D4943"/>
    <w:rsid w:val="001D4F10"/>
    <w:rsid w:val="001D5283"/>
    <w:rsid w:val="001D67BA"/>
    <w:rsid w:val="001D7F7E"/>
    <w:rsid w:val="001D7F87"/>
    <w:rsid w:val="001E30D5"/>
    <w:rsid w:val="001E42C9"/>
    <w:rsid w:val="001F0554"/>
    <w:rsid w:val="001F1E45"/>
    <w:rsid w:val="001F21E9"/>
    <w:rsid w:val="001F42E3"/>
    <w:rsid w:val="001F48AB"/>
    <w:rsid w:val="002052A8"/>
    <w:rsid w:val="002058A5"/>
    <w:rsid w:val="002059C7"/>
    <w:rsid w:val="00205DEA"/>
    <w:rsid w:val="00214406"/>
    <w:rsid w:val="0021487B"/>
    <w:rsid w:val="002151D2"/>
    <w:rsid w:val="00216659"/>
    <w:rsid w:val="002222A1"/>
    <w:rsid w:val="00223291"/>
    <w:rsid w:val="00224ECA"/>
    <w:rsid w:val="00227045"/>
    <w:rsid w:val="0023146D"/>
    <w:rsid w:val="00236954"/>
    <w:rsid w:val="0024084D"/>
    <w:rsid w:val="00240C19"/>
    <w:rsid w:val="00240C38"/>
    <w:rsid w:val="00241091"/>
    <w:rsid w:val="00243120"/>
    <w:rsid w:val="00244DE3"/>
    <w:rsid w:val="00244E30"/>
    <w:rsid w:val="00244E8E"/>
    <w:rsid w:val="00246848"/>
    <w:rsid w:val="00247071"/>
    <w:rsid w:val="00250525"/>
    <w:rsid w:val="00250846"/>
    <w:rsid w:val="00254641"/>
    <w:rsid w:val="00254804"/>
    <w:rsid w:val="00254833"/>
    <w:rsid w:val="00254BEF"/>
    <w:rsid w:val="00255C07"/>
    <w:rsid w:val="00256132"/>
    <w:rsid w:val="0025653F"/>
    <w:rsid w:val="00262834"/>
    <w:rsid w:val="00264FC0"/>
    <w:rsid w:val="00267F5B"/>
    <w:rsid w:val="00271178"/>
    <w:rsid w:val="00272467"/>
    <w:rsid w:val="00273765"/>
    <w:rsid w:val="00273B69"/>
    <w:rsid w:val="00274E7B"/>
    <w:rsid w:val="00275797"/>
    <w:rsid w:val="00282AEB"/>
    <w:rsid w:val="00283C8B"/>
    <w:rsid w:val="00284A5E"/>
    <w:rsid w:val="00285664"/>
    <w:rsid w:val="0029138E"/>
    <w:rsid w:val="0029159E"/>
    <w:rsid w:val="00296464"/>
    <w:rsid w:val="002A0065"/>
    <w:rsid w:val="002A1261"/>
    <w:rsid w:val="002A7AD1"/>
    <w:rsid w:val="002B0E34"/>
    <w:rsid w:val="002B11F1"/>
    <w:rsid w:val="002B19AF"/>
    <w:rsid w:val="002B22C8"/>
    <w:rsid w:val="002B435F"/>
    <w:rsid w:val="002B4AF5"/>
    <w:rsid w:val="002B4CA9"/>
    <w:rsid w:val="002C0F7C"/>
    <w:rsid w:val="002C197F"/>
    <w:rsid w:val="002C1E9C"/>
    <w:rsid w:val="002C3649"/>
    <w:rsid w:val="002D5A99"/>
    <w:rsid w:val="002D5C3D"/>
    <w:rsid w:val="002D73F0"/>
    <w:rsid w:val="002D7430"/>
    <w:rsid w:val="002E05CB"/>
    <w:rsid w:val="002E16A6"/>
    <w:rsid w:val="002E27FF"/>
    <w:rsid w:val="002E3B4E"/>
    <w:rsid w:val="002E3BE9"/>
    <w:rsid w:val="002E45F6"/>
    <w:rsid w:val="002E53C2"/>
    <w:rsid w:val="002E75A1"/>
    <w:rsid w:val="002E785E"/>
    <w:rsid w:val="002E7C0E"/>
    <w:rsid w:val="002F03DC"/>
    <w:rsid w:val="002F08EB"/>
    <w:rsid w:val="002F1101"/>
    <w:rsid w:val="002F3FF7"/>
    <w:rsid w:val="002F45CE"/>
    <w:rsid w:val="002F6E55"/>
    <w:rsid w:val="002F78AF"/>
    <w:rsid w:val="00300661"/>
    <w:rsid w:val="00301591"/>
    <w:rsid w:val="00302E5B"/>
    <w:rsid w:val="00303B54"/>
    <w:rsid w:val="003040DA"/>
    <w:rsid w:val="00305A4D"/>
    <w:rsid w:val="00305DCB"/>
    <w:rsid w:val="00310AFD"/>
    <w:rsid w:val="00315662"/>
    <w:rsid w:val="00315DEE"/>
    <w:rsid w:val="00320A7C"/>
    <w:rsid w:val="00321A2E"/>
    <w:rsid w:val="003241BE"/>
    <w:rsid w:val="0032586F"/>
    <w:rsid w:val="00325A13"/>
    <w:rsid w:val="0033123F"/>
    <w:rsid w:val="003321C3"/>
    <w:rsid w:val="003328F7"/>
    <w:rsid w:val="00335992"/>
    <w:rsid w:val="00335BB8"/>
    <w:rsid w:val="003369F3"/>
    <w:rsid w:val="00337851"/>
    <w:rsid w:val="0033798E"/>
    <w:rsid w:val="003405EA"/>
    <w:rsid w:val="0034106D"/>
    <w:rsid w:val="0034308C"/>
    <w:rsid w:val="00343649"/>
    <w:rsid w:val="00344F4D"/>
    <w:rsid w:val="0035127C"/>
    <w:rsid w:val="00352804"/>
    <w:rsid w:val="0035393F"/>
    <w:rsid w:val="003543FE"/>
    <w:rsid w:val="00354D9E"/>
    <w:rsid w:val="00354FC3"/>
    <w:rsid w:val="00356AF7"/>
    <w:rsid w:val="00360091"/>
    <w:rsid w:val="0036057C"/>
    <w:rsid w:val="00360EC0"/>
    <w:rsid w:val="00361824"/>
    <w:rsid w:val="00361B76"/>
    <w:rsid w:val="003627CD"/>
    <w:rsid w:val="003656EF"/>
    <w:rsid w:val="00366085"/>
    <w:rsid w:val="003671D8"/>
    <w:rsid w:val="00371DD3"/>
    <w:rsid w:val="003733D3"/>
    <w:rsid w:val="00375853"/>
    <w:rsid w:val="00375E94"/>
    <w:rsid w:val="00380378"/>
    <w:rsid w:val="0038052B"/>
    <w:rsid w:val="003811A9"/>
    <w:rsid w:val="003811B9"/>
    <w:rsid w:val="00382298"/>
    <w:rsid w:val="00383C37"/>
    <w:rsid w:val="003874A0"/>
    <w:rsid w:val="00390134"/>
    <w:rsid w:val="0039061D"/>
    <w:rsid w:val="00390DD3"/>
    <w:rsid w:val="00392103"/>
    <w:rsid w:val="00392702"/>
    <w:rsid w:val="003936C3"/>
    <w:rsid w:val="00393B10"/>
    <w:rsid w:val="0039402C"/>
    <w:rsid w:val="003A1CD4"/>
    <w:rsid w:val="003A2B18"/>
    <w:rsid w:val="003A345C"/>
    <w:rsid w:val="003A464E"/>
    <w:rsid w:val="003A4CD5"/>
    <w:rsid w:val="003A556C"/>
    <w:rsid w:val="003B2A4B"/>
    <w:rsid w:val="003B3B5D"/>
    <w:rsid w:val="003B539F"/>
    <w:rsid w:val="003B6D72"/>
    <w:rsid w:val="003B72C3"/>
    <w:rsid w:val="003C1103"/>
    <w:rsid w:val="003C1BCC"/>
    <w:rsid w:val="003C2393"/>
    <w:rsid w:val="003C2D6A"/>
    <w:rsid w:val="003C578E"/>
    <w:rsid w:val="003C742C"/>
    <w:rsid w:val="003D2988"/>
    <w:rsid w:val="003D2CEE"/>
    <w:rsid w:val="003D4FEC"/>
    <w:rsid w:val="003D6576"/>
    <w:rsid w:val="003D7289"/>
    <w:rsid w:val="003D7F74"/>
    <w:rsid w:val="003E1A98"/>
    <w:rsid w:val="003E23AD"/>
    <w:rsid w:val="003E34A7"/>
    <w:rsid w:val="003E5B5E"/>
    <w:rsid w:val="003F1126"/>
    <w:rsid w:val="003F20D1"/>
    <w:rsid w:val="003F246A"/>
    <w:rsid w:val="003F2612"/>
    <w:rsid w:val="003F39E1"/>
    <w:rsid w:val="003F3E95"/>
    <w:rsid w:val="003F6D84"/>
    <w:rsid w:val="003F6FF2"/>
    <w:rsid w:val="004029CC"/>
    <w:rsid w:val="004038F8"/>
    <w:rsid w:val="00403BC8"/>
    <w:rsid w:val="0040421A"/>
    <w:rsid w:val="00404C35"/>
    <w:rsid w:val="004068EC"/>
    <w:rsid w:val="00412B07"/>
    <w:rsid w:val="0041638B"/>
    <w:rsid w:val="00416F39"/>
    <w:rsid w:val="00417F6E"/>
    <w:rsid w:val="004201DA"/>
    <w:rsid w:val="00422D71"/>
    <w:rsid w:val="004234FC"/>
    <w:rsid w:val="00426B6D"/>
    <w:rsid w:val="0042770A"/>
    <w:rsid w:val="00427956"/>
    <w:rsid w:val="00427E79"/>
    <w:rsid w:val="00430552"/>
    <w:rsid w:val="00431447"/>
    <w:rsid w:val="004323C1"/>
    <w:rsid w:val="00433778"/>
    <w:rsid w:val="00435813"/>
    <w:rsid w:val="0044012A"/>
    <w:rsid w:val="00440A90"/>
    <w:rsid w:val="00442238"/>
    <w:rsid w:val="0044247B"/>
    <w:rsid w:val="004430BD"/>
    <w:rsid w:val="004458FD"/>
    <w:rsid w:val="00445EC0"/>
    <w:rsid w:val="0045061B"/>
    <w:rsid w:val="00451476"/>
    <w:rsid w:val="00453B1B"/>
    <w:rsid w:val="004548C6"/>
    <w:rsid w:val="00455CB0"/>
    <w:rsid w:val="00457ADE"/>
    <w:rsid w:val="004602EA"/>
    <w:rsid w:val="004610FD"/>
    <w:rsid w:val="00461BE5"/>
    <w:rsid w:val="00463ACD"/>
    <w:rsid w:val="004641A6"/>
    <w:rsid w:val="004652D7"/>
    <w:rsid w:val="00465DC3"/>
    <w:rsid w:val="00465FDE"/>
    <w:rsid w:val="004721AE"/>
    <w:rsid w:val="0047223E"/>
    <w:rsid w:val="00475063"/>
    <w:rsid w:val="004762CD"/>
    <w:rsid w:val="004769F4"/>
    <w:rsid w:val="0047774C"/>
    <w:rsid w:val="004825B1"/>
    <w:rsid w:val="00483807"/>
    <w:rsid w:val="004852F2"/>
    <w:rsid w:val="0048586A"/>
    <w:rsid w:val="00487B69"/>
    <w:rsid w:val="004906B1"/>
    <w:rsid w:val="004925B1"/>
    <w:rsid w:val="004965A3"/>
    <w:rsid w:val="004A10FB"/>
    <w:rsid w:val="004A1260"/>
    <w:rsid w:val="004A2500"/>
    <w:rsid w:val="004A48EB"/>
    <w:rsid w:val="004A51E3"/>
    <w:rsid w:val="004B015D"/>
    <w:rsid w:val="004B01C1"/>
    <w:rsid w:val="004B0810"/>
    <w:rsid w:val="004B0D20"/>
    <w:rsid w:val="004B7D67"/>
    <w:rsid w:val="004C062B"/>
    <w:rsid w:val="004C0D34"/>
    <w:rsid w:val="004C2CF0"/>
    <w:rsid w:val="004C52C1"/>
    <w:rsid w:val="004C7895"/>
    <w:rsid w:val="004D22B0"/>
    <w:rsid w:val="004D2633"/>
    <w:rsid w:val="004D3510"/>
    <w:rsid w:val="004D3DF8"/>
    <w:rsid w:val="004D513A"/>
    <w:rsid w:val="004D5A92"/>
    <w:rsid w:val="004D6BA0"/>
    <w:rsid w:val="004D75DF"/>
    <w:rsid w:val="004E047A"/>
    <w:rsid w:val="004E3278"/>
    <w:rsid w:val="004E35A3"/>
    <w:rsid w:val="004E442C"/>
    <w:rsid w:val="004E7719"/>
    <w:rsid w:val="004E7EFF"/>
    <w:rsid w:val="004F1213"/>
    <w:rsid w:val="004F34ED"/>
    <w:rsid w:val="004F41E1"/>
    <w:rsid w:val="004F7C09"/>
    <w:rsid w:val="004F7DFC"/>
    <w:rsid w:val="004F7E28"/>
    <w:rsid w:val="00502012"/>
    <w:rsid w:val="00504B7C"/>
    <w:rsid w:val="00510F81"/>
    <w:rsid w:val="005110E3"/>
    <w:rsid w:val="00511C7C"/>
    <w:rsid w:val="0051290A"/>
    <w:rsid w:val="00512E92"/>
    <w:rsid w:val="00515142"/>
    <w:rsid w:val="00515690"/>
    <w:rsid w:val="00517712"/>
    <w:rsid w:val="005209B6"/>
    <w:rsid w:val="005244AD"/>
    <w:rsid w:val="00525574"/>
    <w:rsid w:val="005266C6"/>
    <w:rsid w:val="00531291"/>
    <w:rsid w:val="00532554"/>
    <w:rsid w:val="00533013"/>
    <w:rsid w:val="0053495F"/>
    <w:rsid w:val="005362DD"/>
    <w:rsid w:val="0053711E"/>
    <w:rsid w:val="00540609"/>
    <w:rsid w:val="00540AE6"/>
    <w:rsid w:val="00540C12"/>
    <w:rsid w:val="00541B5D"/>
    <w:rsid w:val="005420DE"/>
    <w:rsid w:val="0054481D"/>
    <w:rsid w:val="00546453"/>
    <w:rsid w:val="005468F5"/>
    <w:rsid w:val="00547297"/>
    <w:rsid w:val="00551948"/>
    <w:rsid w:val="00552418"/>
    <w:rsid w:val="00555015"/>
    <w:rsid w:val="00557439"/>
    <w:rsid w:val="0056004E"/>
    <w:rsid w:val="00560CEE"/>
    <w:rsid w:val="0056244E"/>
    <w:rsid w:val="00562AF3"/>
    <w:rsid w:val="005633BC"/>
    <w:rsid w:val="00565599"/>
    <w:rsid w:val="00565CE0"/>
    <w:rsid w:val="00566EAE"/>
    <w:rsid w:val="00570601"/>
    <w:rsid w:val="0057161D"/>
    <w:rsid w:val="00571FA1"/>
    <w:rsid w:val="00572D86"/>
    <w:rsid w:val="005737E5"/>
    <w:rsid w:val="005746CB"/>
    <w:rsid w:val="00577EEA"/>
    <w:rsid w:val="00577EF5"/>
    <w:rsid w:val="00581A6B"/>
    <w:rsid w:val="00584A6F"/>
    <w:rsid w:val="00584FB4"/>
    <w:rsid w:val="00585F0B"/>
    <w:rsid w:val="0058642E"/>
    <w:rsid w:val="0059005F"/>
    <w:rsid w:val="00590117"/>
    <w:rsid w:val="00590A1D"/>
    <w:rsid w:val="00590E54"/>
    <w:rsid w:val="005927A7"/>
    <w:rsid w:val="00593F95"/>
    <w:rsid w:val="00595ED8"/>
    <w:rsid w:val="00597CEC"/>
    <w:rsid w:val="005A05CC"/>
    <w:rsid w:val="005A37BC"/>
    <w:rsid w:val="005A449B"/>
    <w:rsid w:val="005A6DFA"/>
    <w:rsid w:val="005A7821"/>
    <w:rsid w:val="005A7A51"/>
    <w:rsid w:val="005A7D9B"/>
    <w:rsid w:val="005B065D"/>
    <w:rsid w:val="005B0B3B"/>
    <w:rsid w:val="005B0BDD"/>
    <w:rsid w:val="005B0CB2"/>
    <w:rsid w:val="005B41A2"/>
    <w:rsid w:val="005B502C"/>
    <w:rsid w:val="005B5587"/>
    <w:rsid w:val="005C03AD"/>
    <w:rsid w:val="005C0DC4"/>
    <w:rsid w:val="005C1BFA"/>
    <w:rsid w:val="005C360B"/>
    <w:rsid w:val="005C49D2"/>
    <w:rsid w:val="005C5214"/>
    <w:rsid w:val="005C5BB9"/>
    <w:rsid w:val="005D0CDF"/>
    <w:rsid w:val="005D3926"/>
    <w:rsid w:val="005D439C"/>
    <w:rsid w:val="005D4807"/>
    <w:rsid w:val="005D4C08"/>
    <w:rsid w:val="005D4F2B"/>
    <w:rsid w:val="005D5E06"/>
    <w:rsid w:val="005D632A"/>
    <w:rsid w:val="005E0F13"/>
    <w:rsid w:val="005E11BD"/>
    <w:rsid w:val="005E2737"/>
    <w:rsid w:val="005E6025"/>
    <w:rsid w:val="005E75BC"/>
    <w:rsid w:val="005F09B5"/>
    <w:rsid w:val="005F616A"/>
    <w:rsid w:val="00600878"/>
    <w:rsid w:val="0060097E"/>
    <w:rsid w:val="0060316C"/>
    <w:rsid w:val="006039C5"/>
    <w:rsid w:val="006064BE"/>
    <w:rsid w:val="006074BC"/>
    <w:rsid w:val="00610A10"/>
    <w:rsid w:val="00613609"/>
    <w:rsid w:val="00614062"/>
    <w:rsid w:val="006148C7"/>
    <w:rsid w:val="00616EBF"/>
    <w:rsid w:val="00617DFE"/>
    <w:rsid w:val="006246FA"/>
    <w:rsid w:val="00624A02"/>
    <w:rsid w:val="00625C22"/>
    <w:rsid w:val="00626E78"/>
    <w:rsid w:val="00630C9F"/>
    <w:rsid w:val="0063351F"/>
    <w:rsid w:val="0063393E"/>
    <w:rsid w:val="00633DDB"/>
    <w:rsid w:val="00633F11"/>
    <w:rsid w:val="006342D8"/>
    <w:rsid w:val="00635497"/>
    <w:rsid w:val="00640B78"/>
    <w:rsid w:val="006416D1"/>
    <w:rsid w:val="00642FF0"/>
    <w:rsid w:val="00643048"/>
    <w:rsid w:val="006448E3"/>
    <w:rsid w:val="00644CFD"/>
    <w:rsid w:val="00646ADC"/>
    <w:rsid w:val="00647E75"/>
    <w:rsid w:val="0065037E"/>
    <w:rsid w:val="00653A5B"/>
    <w:rsid w:val="00654061"/>
    <w:rsid w:val="00654A91"/>
    <w:rsid w:val="00656107"/>
    <w:rsid w:val="00657A1E"/>
    <w:rsid w:val="00661D20"/>
    <w:rsid w:val="006644C5"/>
    <w:rsid w:val="00664AF6"/>
    <w:rsid w:val="00665E96"/>
    <w:rsid w:val="0066613B"/>
    <w:rsid w:val="0066634B"/>
    <w:rsid w:val="00666EF9"/>
    <w:rsid w:val="00672F9D"/>
    <w:rsid w:val="00673D2A"/>
    <w:rsid w:val="00674DB6"/>
    <w:rsid w:val="00675AF8"/>
    <w:rsid w:val="00677E2C"/>
    <w:rsid w:val="00680C49"/>
    <w:rsid w:val="00680F94"/>
    <w:rsid w:val="00680FCB"/>
    <w:rsid w:val="0068127B"/>
    <w:rsid w:val="006818A1"/>
    <w:rsid w:val="00682506"/>
    <w:rsid w:val="00683B6F"/>
    <w:rsid w:val="0068518E"/>
    <w:rsid w:val="00686681"/>
    <w:rsid w:val="00686B39"/>
    <w:rsid w:val="00687618"/>
    <w:rsid w:val="006901C7"/>
    <w:rsid w:val="00692093"/>
    <w:rsid w:val="00696256"/>
    <w:rsid w:val="006A0C94"/>
    <w:rsid w:val="006A13F7"/>
    <w:rsid w:val="006A177C"/>
    <w:rsid w:val="006A2B3F"/>
    <w:rsid w:val="006A4D99"/>
    <w:rsid w:val="006A780B"/>
    <w:rsid w:val="006A7AE4"/>
    <w:rsid w:val="006B30E6"/>
    <w:rsid w:val="006B4225"/>
    <w:rsid w:val="006B58DB"/>
    <w:rsid w:val="006B6C02"/>
    <w:rsid w:val="006B76F4"/>
    <w:rsid w:val="006C0F3E"/>
    <w:rsid w:val="006C1EE4"/>
    <w:rsid w:val="006C41CF"/>
    <w:rsid w:val="006C5CE1"/>
    <w:rsid w:val="006C7010"/>
    <w:rsid w:val="006C7684"/>
    <w:rsid w:val="006C7A5E"/>
    <w:rsid w:val="006C7BF9"/>
    <w:rsid w:val="006D0314"/>
    <w:rsid w:val="006D1289"/>
    <w:rsid w:val="006D234B"/>
    <w:rsid w:val="006D2433"/>
    <w:rsid w:val="006D344D"/>
    <w:rsid w:val="006D6201"/>
    <w:rsid w:val="006D636C"/>
    <w:rsid w:val="006D7AE2"/>
    <w:rsid w:val="006F016F"/>
    <w:rsid w:val="006F1822"/>
    <w:rsid w:val="006F3C86"/>
    <w:rsid w:val="006F635D"/>
    <w:rsid w:val="006F7F3D"/>
    <w:rsid w:val="00700E07"/>
    <w:rsid w:val="00700E62"/>
    <w:rsid w:val="00700F7E"/>
    <w:rsid w:val="007026AC"/>
    <w:rsid w:val="007042B1"/>
    <w:rsid w:val="00704E49"/>
    <w:rsid w:val="00705DF2"/>
    <w:rsid w:val="00706C46"/>
    <w:rsid w:val="00707524"/>
    <w:rsid w:val="00707D0A"/>
    <w:rsid w:val="00707DFE"/>
    <w:rsid w:val="00710B74"/>
    <w:rsid w:val="00714988"/>
    <w:rsid w:val="0071529A"/>
    <w:rsid w:val="00715576"/>
    <w:rsid w:val="00721FD0"/>
    <w:rsid w:val="00722886"/>
    <w:rsid w:val="00723180"/>
    <w:rsid w:val="00723203"/>
    <w:rsid w:val="007245F0"/>
    <w:rsid w:val="007262DC"/>
    <w:rsid w:val="0073362E"/>
    <w:rsid w:val="007336AC"/>
    <w:rsid w:val="00734F92"/>
    <w:rsid w:val="007359DB"/>
    <w:rsid w:val="007372FE"/>
    <w:rsid w:val="00740EB9"/>
    <w:rsid w:val="0074244D"/>
    <w:rsid w:val="00743EB3"/>
    <w:rsid w:val="0074529B"/>
    <w:rsid w:val="00746D65"/>
    <w:rsid w:val="00747BEF"/>
    <w:rsid w:val="00747F7C"/>
    <w:rsid w:val="0075024C"/>
    <w:rsid w:val="00750292"/>
    <w:rsid w:val="007537BB"/>
    <w:rsid w:val="00753FC2"/>
    <w:rsid w:val="00756C67"/>
    <w:rsid w:val="00757514"/>
    <w:rsid w:val="00757FFE"/>
    <w:rsid w:val="00761934"/>
    <w:rsid w:val="007626FB"/>
    <w:rsid w:val="0076457D"/>
    <w:rsid w:val="0077064E"/>
    <w:rsid w:val="0077070A"/>
    <w:rsid w:val="007723CE"/>
    <w:rsid w:val="007749EE"/>
    <w:rsid w:val="007779B7"/>
    <w:rsid w:val="007779E1"/>
    <w:rsid w:val="0078009E"/>
    <w:rsid w:val="007807B7"/>
    <w:rsid w:val="0078449C"/>
    <w:rsid w:val="00784649"/>
    <w:rsid w:val="00787B13"/>
    <w:rsid w:val="00793019"/>
    <w:rsid w:val="00794AF9"/>
    <w:rsid w:val="0079722F"/>
    <w:rsid w:val="007A62D3"/>
    <w:rsid w:val="007A6CDC"/>
    <w:rsid w:val="007A77C1"/>
    <w:rsid w:val="007B01B4"/>
    <w:rsid w:val="007B05F0"/>
    <w:rsid w:val="007B42B9"/>
    <w:rsid w:val="007B5497"/>
    <w:rsid w:val="007B62F6"/>
    <w:rsid w:val="007B635B"/>
    <w:rsid w:val="007B6A35"/>
    <w:rsid w:val="007B6D88"/>
    <w:rsid w:val="007B7D8D"/>
    <w:rsid w:val="007C1077"/>
    <w:rsid w:val="007C1BA7"/>
    <w:rsid w:val="007C3A5F"/>
    <w:rsid w:val="007C4654"/>
    <w:rsid w:val="007C63D6"/>
    <w:rsid w:val="007C7830"/>
    <w:rsid w:val="007D0881"/>
    <w:rsid w:val="007D0C65"/>
    <w:rsid w:val="007D124B"/>
    <w:rsid w:val="007D37B9"/>
    <w:rsid w:val="007D46B1"/>
    <w:rsid w:val="007D6A53"/>
    <w:rsid w:val="007D6BFE"/>
    <w:rsid w:val="007D7960"/>
    <w:rsid w:val="007D7D0C"/>
    <w:rsid w:val="007E0E01"/>
    <w:rsid w:val="007E0F65"/>
    <w:rsid w:val="007E16D6"/>
    <w:rsid w:val="007E1E4C"/>
    <w:rsid w:val="007E27C3"/>
    <w:rsid w:val="007E3E6A"/>
    <w:rsid w:val="007E5285"/>
    <w:rsid w:val="007E5772"/>
    <w:rsid w:val="007F183A"/>
    <w:rsid w:val="007F591E"/>
    <w:rsid w:val="007F5A5F"/>
    <w:rsid w:val="007F5EEA"/>
    <w:rsid w:val="007F6AEC"/>
    <w:rsid w:val="007F7DFA"/>
    <w:rsid w:val="0080021B"/>
    <w:rsid w:val="00800AE1"/>
    <w:rsid w:val="00800EA0"/>
    <w:rsid w:val="008064CD"/>
    <w:rsid w:val="00810F3C"/>
    <w:rsid w:val="008122CA"/>
    <w:rsid w:val="00813112"/>
    <w:rsid w:val="0081500C"/>
    <w:rsid w:val="00816E12"/>
    <w:rsid w:val="00817D0D"/>
    <w:rsid w:val="00820531"/>
    <w:rsid w:val="00821169"/>
    <w:rsid w:val="00823C65"/>
    <w:rsid w:val="00825621"/>
    <w:rsid w:val="008262FE"/>
    <w:rsid w:val="00826819"/>
    <w:rsid w:val="00826837"/>
    <w:rsid w:val="0082745E"/>
    <w:rsid w:val="00831C5D"/>
    <w:rsid w:val="00831DAF"/>
    <w:rsid w:val="0083206F"/>
    <w:rsid w:val="008322CB"/>
    <w:rsid w:val="0083697C"/>
    <w:rsid w:val="00837B20"/>
    <w:rsid w:val="00837C46"/>
    <w:rsid w:val="0084086B"/>
    <w:rsid w:val="00840953"/>
    <w:rsid w:val="00841664"/>
    <w:rsid w:val="00842D8F"/>
    <w:rsid w:val="008431A0"/>
    <w:rsid w:val="00843A43"/>
    <w:rsid w:val="00844EE6"/>
    <w:rsid w:val="008452FF"/>
    <w:rsid w:val="00845689"/>
    <w:rsid w:val="00845F84"/>
    <w:rsid w:val="008505C5"/>
    <w:rsid w:val="00850E0A"/>
    <w:rsid w:val="0085298B"/>
    <w:rsid w:val="00853ADE"/>
    <w:rsid w:val="00853B2F"/>
    <w:rsid w:val="008542DC"/>
    <w:rsid w:val="00854774"/>
    <w:rsid w:val="00856226"/>
    <w:rsid w:val="00856975"/>
    <w:rsid w:val="00861246"/>
    <w:rsid w:val="0086291E"/>
    <w:rsid w:val="008638F0"/>
    <w:rsid w:val="00863BBB"/>
    <w:rsid w:val="00865663"/>
    <w:rsid w:val="00865E5C"/>
    <w:rsid w:val="008664ED"/>
    <w:rsid w:val="008669FE"/>
    <w:rsid w:val="0086722B"/>
    <w:rsid w:val="00872FEB"/>
    <w:rsid w:val="00875EB3"/>
    <w:rsid w:val="00876285"/>
    <w:rsid w:val="00876997"/>
    <w:rsid w:val="00877230"/>
    <w:rsid w:val="00881089"/>
    <w:rsid w:val="00881ED4"/>
    <w:rsid w:val="00882D0B"/>
    <w:rsid w:val="00883E8E"/>
    <w:rsid w:val="00883F37"/>
    <w:rsid w:val="00884137"/>
    <w:rsid w:val="00885054"/>
    <w:rsid w:val="00886116"/>
    <w:rsid w:val="00886160"/>
    <w:rsid w:val="0088618D"/>
    <w:rsid w:val="00887A0A"/>
    <w:rsid w:val="00887B01"/>
    <w:rsid w:val="008906D2"/>
    <w:rsid w:val="00890BA8"/>
    <w:rsid w:val="0089102B"/>
    <w:rsid w:val="008914FD"/>
    <w:rsid w:val="00891A8E"/>
    <w:rsid w:val="00892391"/>
    <w:rsid w:val="0089285B"/>
    <w:rsid w:val="008930EF"/>
    <w:rsid w:val="008931B7"/>
    <w:rsid w:val="00893511"/>
    <w:rsid w:val="0089791B"/>
    <w:rsid w:val="00897AB6"/>
    <w:rsid w:val="008A0989"/>
    <w:rsid w:val="008A1DE6"/>
    <w:rsid w:val="008A2409"/>
    <w:rsid w:val="008A539D"/>
    <w:rsid w:val="008A5A57"/>
    <w:rsid w:val="008A632E"/>
    <w:rsid w:val="008A71CB"/>
    <w:rsid w:val="008A73A2"/>
    <w:rsid w:val="008A7DAF"/>
    <w:rsid w:val="008B0774"/>
    <w:rsid w:val="008B13D0"/>
    <w:rsid w:val="008B2493"/>
    <w:rsid w:val="008B2993"/>
    <w:rsid w:val="008B66FF"/>
    <w:rsid w:val="008B7E4C"/>
    <w:rsid w:val="008C109D"/>
    <w:rsid w:val="008C3116"/>
    <w:rsid w:val="008C538D"/>
    <w:rsid w:val="008C5618"/>
    <w:rsid w:val="008C564E"/>
    <w:rsid w:val="008C5A7B"/>
    <w:rsid w:val="008D241B"/>
    <w:rsid w:val="008D246E"/>
    <w:rsid w:val="008D2F8A"/>
    <w:rsid w:val="008D310C"/>
    <w:rsid w:val="008D3687"/>
    <w:rsid w:val="008D6286"/>
    <w:rsid w:val="008E006E"/>
    <w:rsid w:val="008E01FD"/>
    <w:rsid w:val="008E0CFF"/>
    <w:rsid w:val="008E0E66"/>
    <w:rsid w:val="008E0F09"/>
    <w:rsid w:val="008E10F7"/>
    <w:rsid w:val="008E1D63"/>
    <w:rsid w:val="008E1FB9"/>
    <w:rsid w:val="008E23E5"/>
    <w:rsid w:val="008E5BE7"/>
    <w:rsid w:val="008E6297"/>
    <w:rsid w:val="008E6331"/>
    <w:rsid w:val="008F03F6"/>
    <w:rsid w:val="008F1BCA"/>
    <w:rsid w:val="008F2A5A"/>
    <w:rsid w:val="008F2F7E"/>
    <w:rsid w:val="008F404A"/>
    <w:rsid w:val="008F4E7B"/>
    <w:rsid w:val="008F6924"/>
    <w:rsid w:val="008F6EE0"/>
    <w:rsid w:val="0090079E"/>
    <w:rsid w:val="00900905"/>
    <w:rsid w:val="00900CD5"/>
    <w:rsid w:val="00900D64"/>
    <w:rsid w:val="00900E20"/>
    <w:rsid w:val="0090154A"/>
    <w:rsid w:val="00901F0D"/>
    <w:rsid w:val="00902F46"/>
    <w:rsid w:val="009032E9"/>
    <w:rsid w:val="00903341"/>
    <w:rsid w:val="009072CC"/>
    <w:rsid w:val="0091136D"/>
    <w:rsid w:val="00912021"/>
    <w:rsid w:val="0091278A"/>
    <w:rsid w:val="0091562A"/>
    <w:rsid w:val="00915B62"/>
    <w:rsid w:val="00915CE7"/>
    <w:rsid w:val="00917A44"/>
    <w:rsid w:val="0092308D"/>
    <w:rsid w:val="009237D5"/>
    <w:rsid w:val="00924D92"/>
    <w:rsid w:val="00926102"/>
    <w:rsid w:val="00926DDD"/>
    <w:rsid w:val="009308AA"/>
    <w:rsid w:val="00934F68"/>
    <w:rsid w:val="00934F79"/>
    <w:rsid w:val="009354D7"/>
    <w:rsid w:val="0093564D"/>
    <w:rsid w:val="00937246"/>
    <w:rsid w:val="00937E17"/>
    <w:rsid w:val="00937EAE"/>
    <w:rsid w:val="009405EF"/>
    <w:rsid w:val="0094079A"/>
    <w:rsid w:val="00940D2D"/>
    <w:rsid w:val="00941143"/>
    <w:rsid w:val="00941571"/>
    <w:rsid w:val="00945E8E"/>
    <w:rsid w:val="00947ADE"/>
    <w:rsid w:val="00950387"/>
    <w:rsid w:val="00950A3B"/>
    <w:rsid w:val="00951114"/>
    <w:rsid w:val="00951D80"/>
    <w:rsid w:val="00952157"/>
    <w:rsid w:val="00953CAF"/>
    <w:rsid w:val="0095451A"/>
    <w:rsid w:val="00957405"/>
    <w:rsid w:val="0096051B"/>
    <w:rsid w:val="00960819"/>
    <w:rsid w:val="0096196F"/>
    <w:rsid w:val="00961D35"/>
    <w:rsid w:val="00963B97"/>
    <w:rsid w:val="00963CEF"/>
    <w:rsid w:val="009645B1"/>
    <w:rsid w:val="00965782"/>
    <w:rsid w:val="00965D01"/>
    <w:rsid w:val="009669E6"/>
    <w:rsid w:val="00967764"/>
    <w:rsid w:val="00970D99"/>
    <w:rsid w:val="00971C91"/>
    <w:rsid w:val="00972B8E"/>
    <w:rsid w:val="00973E88"/>
    <w:rsid w:val="00976078"/>
    <w:rsid w:val="00976EA1"/>
    <w:rsid w:val="00980C6A"/>
    <w:rsid w:val="00981D7F"/>
    <w:rsid w:val="00983F80"/>
    <w:rsid w:val="00984F1B"/>
    <w:rsid w:val="00987130"/>
    <w:rsid w:val="009875DE"/>
    <w:rsid w:val="009926FA"/>
    <w:rsid w:val="0099320A"/>
    <w:rsid w:val="0099337B"/>
    <w:rsid w:val="0099526F"/>
    <w:rsid w:val="009957B2"/>
    <w:rsid w:val="00995B53"/>
    <w:rsid w:val="009A339B"/>
    <w:rsid w:val="009A351C"/>
    <w:rsid w:val="009A6116"/>
    <w:rsid w:val="009A6645"/>
    <w:rsid w:val="009A7605"/>
    <w:rsid w:val="009A78E4"/>
    <w:rsid w:val="009B3966"/>
    <w:rsid w:val="009B4D72"/>
    <w:rsid w:val="009B6840"/>
    <w:rsid w:val="009B7F79"/>
    <w:rsid w:val="009C0A4B"/>
    <w:rsid w:val="009C0E2D"/>
    <w:rsid w:val="009C48F6"/>
    <w:rsid w:val="009C5291"/>
    <w:rsid w:val="009C58B4"/>
    <w:rsid w:val="009C63C4"/>
    <w:rsid w:val="009C656F"/>
    <w:rsid w:val="009C7015"/>
    <w:rsid w:val="009C7232"/>
    <w:rsid w:val="009C7565"/>
    <w:rsid w:val="009C75C1"/>
    <w:rsid w:val="009C7AEA"/>
    <w:rsid w:val="009D11BA"/>
    <w:rsid w:val="009D227D"/>
    <w:rsid w:val="009D4185"/>
    <w:rsid w:val="009D63E5"/>
    <w:rsid w:val="009D7A42"/>
    <w:rsid w:val="009E0FA7"/>
    <w:rsid w:val="009E2BDE"/>
    <w:rsid w:val="009E2DDB"/>
    <w:rsid w:val="009E40C5"/>
    <w:rsid w:val="009E4F41"/>
    <w:rsid w:val="009E6DA2"/>
    <w:rsid w:val="009E6E1B"/>
    <w:rsid w:val="009F011B"/>
    <w:rsid w:val="009F1524"/>
    <w:rsid w:val="009F4675"/>
    <w:rsid w:val="009F797B"/>
    <w:rsid w:val="00A0038A"/>
    <w:rsid w:val="00A011F2"/>
    <w:rsid w:val="00A0315B"/>
    <w:rsid w:val="00A04485"/>
    <w:rsid w:val="00A07712"/>
    <w:rsid w:val="00A0786E"/>
    <w:rsid w:val="00A078D7"/>
    <w:rsid w:val="00A07FF9"/>
    <w:rsid w:val="00A11C70"/>
    <w:rsid w:val="00A12FD2"/>
    <w:rsid w:val="00A13B27"/>
    <w:rsid w:val="00A159CE"/>
    <w:rsid w:val="00A16A3A"/>
    <w:rsid w:val="00A16A3D"/>
    <w:rsid w:val="00A17161"/>
    <w:rsid w:val="00A20F92"/>
    <w:rsid w:val="00A2186A"/>
    <w:rsid w:val="00A21FBA"/>
    <w:rsid w:val="00A22716"/>
    <w:rsid w:val="00A242CA"/>
    <w:rsid w:val="00A2436A"/>
    <w:rsid w:val="00A251B7"/>
    <w:rsid w:val="00A2624E"/>
    <w:rsid w:val="00A27645"/>
    <w:rsid w:val="00A3080A"/>
    <w:rsid w:val="00A30E77"/>
    <w:rsid w:val="00A30ECD"/>
    <w:rsid w:val="00A31383"/>
    <w:rsid w:val="00A31B6B"/>
    <w:rsid w:val="00A32159"/>
    <w:rsid w:val="00A33C83"/>
    <w:rsid w:val="00A359A1"/>
    <w:rsid w:val="00A374C8"/>
    <w:rsid w:val="00A408BA"/>
    <w:rsid w:val="00A439EB"/>
    <w:rsid w:val="00A43B13"/>
    <w:rsid w:val="00A4563F"/>
    <w:rsid w:val="00A47979"/>
    <w:rsid w:val="00A47F4E"/>
    <w:rsid w:val="00A51EDB"/>
    <w:rsid w:val="00A52494"/>
    <w:rsid w:val="00A549FB"/>
    <w:rsid w:val="00A553CE"/>
    <w:rsid w:val="00A564CB"/>
    <w:rsid w:val="00A628C0"/>
    <w:rsid w:val="00A63AEE"/>
    <w:rsid w:val="00A63E83"/>
    <w:rsid w:val="00A641BB"/>
    <w:rsid w:val="00A6525C"/>
    <w:rsid w:val="00A65FC8"/>
    <w:rsid w:val="00A67076"/>
    <w:rsid w:val="00A71E34"/>
    <w:rsid w:val="00A72A16"/>
    <w:rsid w:val="00A73ACD"/>
    <w:rsid w:val="00A76412"/>
    <w:rsid w:val="00A76E11"/>
    <w:rsid w:val="00A80896"/>
    <w:rsid w:val="00A840B9"/>
    <w:rsid w:val="00A84109"/>
    <w:rsid w:val="00A90B89"/>
    <w:rsid w:val="00A90E5F"/>
    <w:rsid w:val="00A91A0A"/>
    <w:rsid w:val="00A9708E"/>
    <w:rsid w:val="00AA0766"/>
    <w:rsid w:val="00AA087B"/>
    <w:rsid w:val="00AA1D11"/>
    <w:rsid w:val="00AA3FD9"/>
    <w:rsid w:val="00AA5D9F"/>
    <w:rsid w:val="00AA68CB"/>
    <w:rsid w:val="00AA6FC0"/>
    <w:rsid w:val="00AB6288"/>
    <w:rsid w:val="00AC04DF"/>
    <w:rsid w:val="00AC3CFC"/>
    <w:rsid w:val="00AC73B9"/>
    <w:rsid w:val="00AD00C0"/>
    <w:rsid w:val="00AD077A"/>
    <w:rsid w:val="00AD1C09"/>
    <w:rsid w:val="00AD22D1"/>
    <w:rsid w:val="00AD55A7"/>
    <w:rsid w:val="00AD6167"/>
    <w:rsid w:val="00AD6D66"/>
    <w:rsid w:val="00AD6DC5"/>
    <w:rsid w:val="00AE043A"/>
    <w:rsid w:val="00AE2369"/>
    <w:rsid w:val="00AE3492"/>
    <w:rsid w:val="00AE3720"/>
    <w:rsid w:val="00AE512D"/>
    <w:rsid w:val="00AE726B"/>
    <w:rsid w:val="00AE78DE"/>
    <w:rsid w:val="00AE7AD2"/>
    <w:rsid w:val="00AF0472"/>
    <w:rsid w:val="00AF200E"/>
    <w:rsid w:val="00AF2120"/>
    <w:rsid w:val="00AF542D"/>
    <w:rsid w:val="00AF58B5"/>
    <w:rsid w:val="00AF7C00"/>
    <w:rsid w:val="00B0062F"/>
    <w:rsid w:val="00B02271"/>
    <w:rsid w:val="00B02CC6"/>
    <w:rsid w:val="00B03EA2"/>
    <w:rsid w:val="00B052A4"/>
    <w:rsid w:val="00B05D3B"/>
    <w:rsid w:val="00B114AF"/>
    <w:rsid w:val="00B1159A"/>
    <w:rsid w:val="00B1160D"/>
    <w:rsid w:val="00B11FA0"/>
    <w:rsid w:val="00B120E9"/>
    <w:rsid w:val="00B155BE"/>
    <w:rsid w:val="00B177C6"/>
    <w:rsid w:val="00B17A67"/>
    <w:rsid w:val="00B2081C"/>
    <w:rsid w:val="00B21CA5"/>
    <w:rsid w:val="00B2301D"/>
    <w:rsid w:val="00B23F23"/>
    <w:rsid w:val="00B242CE"/>
    <w:rsid w:val="00B25892"/>
    <w:rsid w:val="00B25DBA"/>
    <w:rsid w:val="00B26CCB"/>
    <w:rsid w:val="00B2741D"/>
    <w:rsid w:val="00B27727"/>
    <w:rsid w:val="00B27B99"/>
    <w:rsid w:val="00B30184"/>
    <w:rsid w:val="00B3049B"/>
    <w:rsid w:val="00B3059F"/>
    <w:rsid w:val="00B30F29"/>
    <w:rsid w:val="00B3152A"/>
    <w:rsid w:val="00B3219E"/>
    <w:rsid w:val="00B323A3"/>
    <w:rsid w:val="00B33488"/>
    <w:rsid w:val="00B33583"/>
    <w:rsid w:val="00B33A1A"/>
    <w:rsid w:val="00B343CA"/>
    <w:rsid w:val="00B365A5"/>
    <w:rsid w:val="00B36644"/>
    <w:rsid w:val="00B36A1C"/>
    <w:rsid w:val="00B37527"/>
    <w:rsid w:val="00B40BBA"/>
    <w:rsid w:val="00B40CAA"/>
    <w:rsid w:val="00B4269A"/>
    <w:rsid w:val="00B42D75"/>
    <w:rsid w:val="00B443F2"/>
    <w:rsid w:val="00B444FC"/>
    <w:rsid w:val="00B4527A"/>
    <w:rsid w:val="00B46741"/>
    <w:rsid w:val="00B46A7E"/>
    <w:rsid w:val="00B50117"/>
    <w:rsid w:val="00B501E1"/>
    <w:rsid w:val="00B5037C"/>
    <w:rsid w:val="00B52EA5"/>
    <w:rsid w:val="00B55A70"/>
    <w:rsid w:val="00B60451"/>
    <w:rsid w:val="00B60B8C"/>
    <w:rsid w:val="00B61645"/>
    <w:rsid w:val="00B624A3"/>
    <w:rsid w:val="00B62738"/>
    <w:rsid w:val="00B62CD1"/>
    <w:rsid w:val="00B65888"/>
    <w:rsid w:val="00B65CC5"/>
    <w:rsid w:val="00B66003"/>
    <w:rsid w:val="00B71AA9"/>
    <w:rsid w:val="00B71E90"/>
    <w:rsid w:val="00B74107"/>
    <w:rsid w:val="00B74736"/>
    <w:rsid w:val="00B74B40"/>
    <w:rsid w:val="00B82D3A"/>
    <w:rsid w:val="00B84B00"/>
    <w:rsid w:val="00B84D7E"/>
    <w:rsid w:val="00B85191"/>
    <w:rsid w:val="00B8599F"/>
    <w:rsid w:val="00B85C00"/>
    <w:rsid w:val="00B865A4"/>
    <w:rsid w:val="00B86C60"/>
    <w:rsid w:val="00B870BE"/>
    <w:rsid w:val="00B901DB"/>
    <w:rsid w:val="00B90398"/>
    <w:rsid w:val="00B9205E"/>
    <w:rsid w:val="00B9496B"/>
    <w:rsid w:val="00B94D95"/>
    <w:rsid w:val="00B95949"/>
    <w:rsid w:val="00B95B81"/>
    <w:rsid w:val="00B96458"/>
    <w:rsid w:val="00B972FF"/>
    <w:rsid w:val="00B97B80"/>
    <w:rsid w:val="00BA0387"/>
    <w:rsid w:val="00BA240D"/>
    <w:rsid w:val="00BA3F52"/>
    <w:rsid w:val="00BA4077"/>
    <w:rsid w:val="00BA740E"/>
    <w:rsid w:val="00BA752D"/>
    <w:rsid w:val="00BB05EE"/>
    <w:rsid w:val="00BB1535"/>
    <w:rsid w:val="00BB2254"/>
    <w:rsid w:val="00BB3052"/>
    <w:rsid w:val="00BB5632"/>
    <w:rsid w:val="00BB5AC0"/>
    <w:rsid w:val="00BC16AF"/>
    <w:rsid w:val="00BC1F1D"/>
    <w:rsid w:val="00BC242A"/>
    <w:rsid w:val="00BC3D25"/>
    <w:rsid w:val="00BC589E"/>
    <w:rsid w:val="00BC75E5"/>
    <w:rsid w:val="00BD02A3"/>
    <w:rsid w:val="00BD0C23"/>
    <w:rsid w:val="00BD1DC4"/>
    <w:rsid w:val="00BD1F73"/>
    <w:rsid w:val="00BD34CE"/>
    <w:rsid w:val="00BD467C"/>
    <w:rsid w:val="00BD63E8"/>
    <w:rsid w:val="00BD6498"/>
    <w:rsid w:val="00BE00BF"/>
    <w:rsid w:val="00BE0339"/>
    <w:rsid w:val="00BE13B6"/>
    <w:rsid w:val="00BE2D16"/>
    <w:rsid w:val="00BE4DE6"/>
    <w:rsid w:val="00BE75FE"/>
    <w:rsid w:val="00BE7807"/>
    <w:rsid w:val="00BF275C"/>
    <w:rsid w:val="00BF62DA"/>
    <w:rsid w:val="00BF7F5B"/>
    <w:rsid w:val="00C01A19"/>
    <w:rsid w:val="00C03487"/>
    <w:rsid w:val="00C04579"/>
    <w:rsid w:val="00C04F11"/>
    <w:rsid w:val="00C073D5"/>
    <w:rsid w:val="00C07EAF"/>
    <w:rsid w:val="00C106BE"/>
    <w:rsid w:val="00C1144E"/>
    <w:rsid w:val="00C1226D"/>
    <w:rsid w:val="00C1400B"/>
    <w:rsid w:val="00C16613"/>
    <w:rsid w:val="00C1714A"/>
    <w:rsid w:val="00C17F23"/>
    <w:rsid w:val="00C2193F"/>
    <w:rsid w:val="00C21975"/>
    <w:rsid w:val="00C2261F"/>
    <w:rsid w:val="00C229A7"/>
    <w:rsid w:val="00C24361"/>
    <w:rsid w:val="00C260A7"/>
    <w:rsid w:val="00C31D21"/>
    <w:rsid w:val="00C328C6"/>
    <w:rsid w:val="00C32E3B"/>
    <w:rsid w:val="00C33053"/>
    <w:rsid w:val="00C336C4"/>
    <w:rsid w:val="00C342B0"/>
    <w:rsid w:val="00C3477A"/>
    <w:rsid w:val="00C34F6E"/>
    <w:rsid w:val="00C374A7"/>
    <w:rsid w:val="00C3767A"/>
    <w:rsid w:val="00C40503"/>
    <w:rsid w:val="00C40BDC"/>
    <w:rsid w:val="00C42078"/>
    <w:rsid w:val="00C42125"/>
    <w:rsid w:val="00C42F14"/>
    <w:rsid w:val="00C43268"/>
    <w:rsid w:val="00C47D37"/>
    <w:rsid w:val="00C50DB4"/>
    <w:rsid w:val="00C52221"/>
    <w:rsid w:val="00C52E88"/>
    <w:rsid w:val="00C52ECF"/>
    <w:rsid w:val="00C565A2"/>
    <w:rsid w:val="00C56F06"/>
    <w:rsid w:val="00C573FD"/>
    <w:rsid w:val="00C60FF1"/>
    <w:rsid w:val="00C623B5"/>
    <w:rsid w:val="00C64A72"/>
    <w:rsid w:val="00C64CE6"/>
    <w:rsid w:val="00C70473"/>
    <w:rsid w:val="00C71748"/>
    <w:rsid w:val="00C71BC7"/>
    <w:rsid w:val="00C71D71"/>
    <w:rsid w:val="00C74989"/>
    <w:rsid w:val="00C74B79"/>
    <w:rsid w:val="00C810F0"/>
    <w:rsid w:val="00C8183E"/>
    <w:rsid w:val="00C82233"/>
    <w:rsid w:val="00C82C3C"/>
    <w:rsid w:val="00C87B4A"/>
    <w:rsid w:val="00C904F1"/>
    <w:rsid w:val="00C91993"/>
    <w:rsid w:val="00C925B0"/>
    <w:rsid w:val="00C92864"/>
    <w:rsid w:val="00C93797"/>
    <w:rsid w:val="00C953BC"/>
    <w:rsid w:val="00C95C51"/>
    <w:rsid w:val="00CA0CD6"/>
    <w:rsid w:val="00CA25D5"/>
    <w:rsid w:val="00CA2669"/>
    <w:rsid w:val="00CA2992"/>
    <w:rsid w:val="00CA2B54"/>
    <w:rsid w:val="00CA331D"/>
    <w:rsid w:val="00CA3AA2"/>
    <w:rsid w:val="00CA456F"/>
    <w:rsid w:val="00CA5C9B"/>
    <w:rsid w:val="00CA6752"/>
    <w:rsid w:val="00CA6B9F"/>
    <w:rsid w:val="00CA6C2F"/>
    <w:rsid w:val="00CB0742"/>
    <w:rsid w:val="00CB0DA0"/>
    <w:rsid w:val="00CB1D54"/>
    <w:rsid w:val="00CB5103"/>
    <w:rsid w:val="00CB7271"/>
    <w:rsid w:val="00CC0BCA"/>
    <w:rsid w:val="00CC1AE7"/>
    <w:rsid w:val="00CC237B"/>
    <w:rsid w:val="00CC4BF1"/>
    <w:rsid w:val="00CC6C4C"/>
    <w:rsid w:val="00CC7566"/>
    <w:rsid w:val="00CC76F8"/>
    <w:rsid w:val="00CC7B9F"/>
    <w:rsid w:val="00CD114C"/>
    <w:rsid w:val="00CD191E"/>
    <w:rsid w:val="00CD1F60"/>
    <w:rsid w:val="00CD2CAE"/>
    <w:rsid w:val="00CD2CB6"/>
    <w:rsid w:val="00CD3B32"/>
    <w:rsid w:val="00CD5A05"/>
    <w:rsid w:val="00CD79F0"/>
    <w:rsid w:val="00CE0032"/>
    <w:rsid w:val="00CE0CC2"/>
    <w:rsid w:val="00CE12AB"/>
    <w:rsid w:val="00CE1AA7"/>
    <w:rsid w:val="00CE3E4C"/>
    <w:rsid w:val="00CE5176"/>
    <w:rsid w:val="00CE7B6C"/>
    <w:rsid w:val="00CF041D"/>
    <w:rsid w:val="00CF0953"/>
    <w:rsid w:val="00CF1354"/>
    <w:rsid w:val="00CF1FAA"/>
    <w:rsid w:val="00CF2497"/>
    <w:rsid w:val="00CF2D8D"/>
    <w:rsid w:val="00CF349B"/>
    <w:rsid w:val="00CF4870"/>
    <w:rsid w:val="00CF54AD"/>
    <w:rsid w:val="00CF72C9"/>
    <w:rsid w:val="00CF7C23"/>
    <w:rsid w:val="00D009DF"/>
    <w:rsid w:val="00D01FF4"/>
    <w:rsid w:val="00D02EB7"/>
    <w:rsid w:val="00D04399"/>
    <w:rsid w:val="00D05BB3"/>
    <w:rsid w:val="00D07DDE"/>
    <w:rsid w:val="00D10858"/>
    <w:rsid w:val="00D10B3D"/>
    <w:rsid w:val="00D12BD9"/>
    <w:rsid w:val="00D137C7"/>
    <w:rsid w:val="00D13B55"/>
    <w:rsid w:val="00D143AD"/>
    <w:rsid w:val="00D15309"/>
    <w:rsid w:val="00D175A5"/>
    <w:rsid w:val="00D176DC"/>
    <w:rsid w:val="00D17A6E"/>
    <w:rsid w:val="00D242AF"/>
    <w:rsid w:val="00D25353"/>
    <w:rsid w:val="00D31426"/>
    <w:rsid w:val="00D31A19"/>
    <w:rsid w:val="00D31C6B"/>
    <w:rsid w:val="00D325BE"/>
    <w:rsid w:val="00D334A8"/>
    <w:rsid w:val="00D3649B"/>
    <w:rsid w:val="00D41A44"/>
    <w:rsid w:val="00D41C6B"/>
    <w:rsid w:val="00D420CB"/>
    <w:rsid w:val="00D43F2B"/>
    <w:rsid w:val="00D45136"/>
    <w:rsid w:val="00D45986"/>
    <w:rsid w:val="00D47941"/>
    <w:rsid w:val="00D51FB9"/>
    <w:rsid w:val="00D53BD6"/>
    <w:rsid w:val="00D5465E"/>
    <w:rsid w:val="00D54A5F"/>
    <w:rsid w:val="00D54BAB"/>
    <w:rsid w:val="00D55CAC"/>
    <w:rsid w:val="00D564D0"/>
    <w:rsid w:val="00D568D4"/>
    <w:rsid w:val="00D60A42"/>
    <w:rsid w:val="00D60DF8"/>
    <w:rsid w:val="00D66908"/>
    <w:rsid w:val="00D71CB6"/>
    <w:rsid w:val="00D72545"/>
    <w:rsid w:val="00D74472"/>
    <w:rsid w:val="00D76152"/>
    <w:rsid w:val="00D77BD3"/>
    <w:rsid w:val="00D80CC5"/>
    <w:rsid w:val="00D82A3E"/>
    <w:rsid w:val="00D836AD"/>
    <w:rsid w:val="00D836D4"/>
    <w:rsid w:val="00D8441B"/>
    <w:rsid w:val="00D8587B"/>
    <w:rsid w:val="00D875F2"/>
    <w:rsid w:val="00D9088C"/>
    <w:rsid w:val="00D90A93"/>
    <w:rsid w:val="00D91839"/>
    <w:rsid w:val="00D9317B"/>
    <w:rsid w:val="00D95E9F"/>
    <w:rsid w:val="00D96D1F"/>
    <w:rsid w:val="00D976E0"/>
    <w:rsid w:val="00D97FA2"/>
    <w:rsid w:val="00DA1077"/>
    <w:rsid w:val="00DA3482"/>
    <w:rsid w:val="00DA3F12"/>
    <w:rsid w:val="00DA4463"/>
    <w:rsid w:val="00DA63D5"/>
    <w:rsid w:val="00DA663B"/>
    <w:rsid w:val="00DA767F"/>
    <w:rsid w:val="00DB13CA"/>
    <w:rsid w:val="00DB410F"/>
    <w:rsid w:val="00DB65FA"/>
    <w:rsid w:val="00DB6D43"/>
    <w:rsid w:val="00DB7773"/>
    <w:rsid w:val="00DC0448"/>
    <w:rsid w:val="00DC1B03"/>
    <w:rsid w:val="00DC24A0"/>
    <w:rsid w:val="00DC2CB0"/>
    <w:rsid w:val="00DC4C09"/>
    <w:rsid w:val="00DC5E9D"/>
    <w:rsid w:val="00DC64B0"/>
    <w:rsid w:val="00DD115E"/>
    <w:rsid w:val="00DD1830"/>
    <w:rsid w:val="00DD2373"/>
    <w:rsid w:val="00DD2BC7"/>
    <w:rsid w:val="00DD2C01"/>
    <w:rsid w:val="00DD2DBC"/>
    <w:rsid w:val="00DD4AF8"/>
    <w:rsid w:val="00DD4F7D"/>
    <w:rsid w:val="00DD6CA1"/>
    <w:rsid w:val="00DD7101"/>
    <w:rsid w:val="00DE0CD1"/>
    <w:rsid w:val="00DE1D4B"/>
    <w:rsid w:val="00DE2B17"/>
    <w:rsid w:val="00DE3B17"/>
    <w:rsid w:val="00DE5B5A"/>
    <w:rsid w:val="00DE5B83"/>
    <w:rsid w:val="00DE6BCB"/>
    <w:rsid w:val="00DE6CED"/>
    <w:rsid w:val="00DE78B0"/>
    <w:rsid w:val="00DF08DC"/>
    <w:rsid w:val="00DF2F1B"/>
    <w:rsid w:val="00DF57F0"/>
    <w:rsid w:val="00DF64DE"/>
    <w:rsid w:val="00DF6F38"/>
    <w:rsid w:val="00E01CD9"/>
    <w:rsid w:val="00E01ED1"/>
    <w:rsid w:val="00E053A4"/>
    <w:rsid w:val="00E05F69"/>
    <w:rsid w:val="00E06DB7"/>
    <w:rsid w:val="00E074C6"/>
    <w:rsid w:val="00E077F8"/>
    <w:rsid w:val="00E07FEC"/>
    <w:rsid w:val="00E11012"/>
    <w:rsid w:val="00E1180A"/>
    <w:rsid w:val="00E11D7E"/>
    <w:rsid w:val="00E133C9"/>
    <w:rsid w:val="00E15160"/>
    <w:rsid w:val="00E160F8"/>
    <w:rsid w:val="00E20CC0"/>
    <w:rsid w:val="00E20D8A"/>
    <w:rsid w:val="00E219BA"/>
    <w:rsid w:val="00E219E0"/>
    <w:rsid w:val="00E21AA8"/>
    <w:rsid w:val="00E232BB"/>
    <w:rsid w:val="00E24D46"/>
    <w:rsid w:val="00E25A48"/>
    <w:rsid w:val="00E26B0C"/>
    <w:rsid w:val="00E26C11"/>
    <w:rsid w:val="00E30265"/>
    <w:rsid w:val="00E35610"/>
    <w:rsid w:val="00E36080"/>
    <w:rsid w:val="00E36423"/>
    <w:rsid w:val="00E36917"/>
    <w:rsid w:val="00E37DEB"/>
    <w:rsid w:val="00E4083D"/>
    <w:rsid w:val="00E40D3C"/>
    <w:rsid w:val="00E4249E"/>
    <w:rsid w:val="00E43841"/>
    <w:rsid w:val="00E43C25"/>
    <w:rsid w:val="00E45002"/>
    <w:rsid w:val="00E45FF0"/>
    <w:rsid w:val="00E5265A"/>
    <w:rsid w:val="00E55AF2"/>
    <w:rsid w:val="00E56BCA"/>
    <w:rsid w:val="00E570D5"/>
    <w:rsid w:val="00E57269"/>
    <w:rsid w:val="00E57A4F"/>
    <w:rsid w:val="00E60854"/>
    <w:rsid w:val="00E62697"/>
    <w:rsid w:val="00E62D44"/>
    <w:rsid w:val="00E62F40"/>
    <w:rsid w:val="00E63951"/>
    <w:rsid w:val="00E653DF"/>
    <w:rsid w:val="00E669CE"/>
    <w:rsid w:val="00E720F0"/>
    <w:rsid w:val="00E72A03"/>
    <w:rsid w:val="00E73BDD"/>
    <w:rsid w:val="00E749AC"/>
    <w:rsid w:val="00E74C0D"/>
    <w:rsid w:val="00E74DC1"/>
    <w:rsid w:val="00E766F4"/>
    <w:rsid w:val="00E76F33"/>
    <w:rsid w:val="00E828A6"/>
    <w:rsid w:val="00E832A9"/>
    <w:rsid w:val="00E833A0"/>
    <w:rsid w:val="00E84A1C"/>
    <w:rsid w:val="00E86054"/>
    <w:rsid w:val="00E90AF5"/>
    <w:rsid w:val="00E91C62"/>
    <w:rsid w:val="00E94E94"/>
    <w:rsid w:val="00E95085"/>
    <w:rsid w:val="00E966B6"/>
    <w:rsid w:val="00E96EAC"/>
    <w:rsid w:val="00EA13E0"/>
    <w:rsid w:val="00EA16FF"/>
    <w:rsid w:val="00EA1CCF"/>
    <w:rsid w:val="00EA1E08"/>
    <w:rsid w:val="00EA276E"/>
    <w:rsid w:val="00EA39E9"/>
    <w:rsid w:val="00EA3CB1"/>
    <w:rsid w:val="00EA5643"/>
    <w:rsid w:val="00EB1756"/>
    <w:rsid w:val="00EB24A0"/>
    <w:rsid w:val="00EB309D"/>
    <w:rsid w:val="00EB4850"/>
    <w:rsid w:val="00EB6575"/>
    <w:rsid w:val="00EC048C"/>
    <w:rsid w:val="00EC0895"/>
    <w:rsid w:val="00EC2B53"/>
    <w:rsid w:val="00EC2D97"/>
    <w:rsid w:val="00EC38DF"/>
    <w:rsid w:val="00EC3CC1"/>
    <w:rsid w:val="00EC5F4D"/>
    <w:rsid w:val="00EC5F8C"/>
    <w:rsid w:val="00EC61E3"/>
    <w:rsid w:val="00EC794F"/>
    <w:rsid w:val="00ED0919"/>
    <w:rsid w:val="00ED19E3"/>
    <w:rsid w:val="00ED2BE7"/>
    <w:rsid w:val="00ED31BB"/>
    <w:rsid w:val="00ED36FF"/>
    <w:rsid w:val="00ED4CA2"/>
    <w:rsid w:val="00ED71C4"/>
    <w:rsid w:val="00EE0B63"/>
    <w:rsid w:val="00EE1E83"/>
    <w:rsid w:val="00EE30E9"/>
    <w:rsid w:val="00EE4990"/>
    <w:rsid w:val="00EF3FD3"/>
    <w:rsid w:val="00EF55CB"/>
    <w:rsid w:val="00EF5CA4"/>
    <w:rsid w:val="00EF7B24"/>
    <w:rsid w:val="00EF7B77"/>
    <w:rsid w:val="00EF7E64"/>
    <w:rsid w:val="00F01FB6"/>
    <w:rsid w:val="00F03358"/>
    <w:rsid w:val="00F0337C"/>
    <w:rsid w:val="00F0386F"/>
    <w:rsid w:val="00F03D1A"/>
    <w:rsid w:val="00F03E06"/>
    <w:rsid w:val="00F040A3"/>
    <w:rsid w:val="00F04373"/>
    <w:rsid w:val="00F062DA"/>
    <w:rsid w:val="00F11E4C"/>
    <w:rsid w:val="00F136F0"/>
    <w:rsid w:val="00F153B6"/>
    <w:rsid w:val="00F175AC"/>
    <w:rsid w:val="00F17D3D"/>
    <w:rsid w:val="00F20D5B"/>
    <w:rsid w:val="00F21BCC"/>
    <w:rsid w:val="00F226ED"/>
    <w:rsid w:val="00F229FD"/>
    <w:rsid w:val="00F233CB"/>
    <w:rsid w:val="00F25052"/>
    <w:rsid w:val="00F25A90"/>
    <w:rsid w:val="00F26998"/>
    <w:rsid w:val="00F2699B"/>
    <w:rsid w:val="00F27955"/>
    <w:rsid w:val="00F3102E"/>
    <w:rsid w:val="00F319B9"/>
    <w:rsid w:val="00F32015"/>
    <w:rsid w:val="00F33DD8"/>
    <w:rsid w:val="00F34542"/>
    <w:rsid w:val="00F35847"/>
    <w:rsid w:val="00F36A02"/>
    <w:rsid w:val="00F37785"/>
    <w:rsid w:val="00F3779C"/>
    <w:rsid w:val="00F40934"/>
    <w:rsid w:val="00F418DA"/>
    <w:rsid w:val="00F431D5"/>
    <w:rsid w:val="00F43D56"/>
    <w:rsid w:val="00F442D3"/>
    <w:rsid w:val="00F44673"/>
    <w:rsid w:val="00F463A9"/>
    <w:rsid w:val="00F50FE3"/>
    <w:rsid w:val="00F54BED"/>
    <w:rsid w:val="00F55166"/>
    <w:rsid w:val="00F554DD"/>
    <w:rsid w:val="00F5632A"/>
    <w:rsid w:val="00F56BAD"/>
    <w:rsid w:val="00F575FB"/>
    <w:rsid w:val="00F61857"/>
    <w:rsid w:val="00F62AE8"/>
    <w:rsid w:val="00F646A4"/>
    <w:rsid w:val="00F64A04"/>
    <w:rsid w:val="00F66245"/>
    <w:rsid w:val="00F67603"/>
    <w:rsid w:val="00F708A8"/>
    <w:rsid w:val="00F70B74"/>
    <w:rsid w:val="00F7285F"/>
    <w:rsid w:val="00F731DC"/>
    <w:rsid w:val="00F73F1F"/>
    <w:rsid w:val="00F74204"/>
    <w:rsid w:val="00F74E59"/>
    <w:rsid w:val="00F7522F"/>
    <w:rsid w:val="00F7613A"/>
    <w:rsid w:val="00F800A6"/>
    <w:rsid w:val="00F818D2"/>
    <w:rsid w:val="00F823C3"/>
    <w:rsid w:val="00F8552C"/>
    <w:rsid w:val="00F858FC"/>
    <w:rsid w:val="00F91AD1"/>
    <w:rsid w:val="00F92476"/>
    <w:rsid w:val="00F94C71"/>
    <w:rsid w:val="00FA0B5C"/>
    <w:rsid w:val="00FA0F31"/>
    <w:rsid w:val="00FA1880"/>
    <w:rsid w:val="00FA40E9"/>
    <w:rsid w:val="00FA43F0"/>
    <w:rsid w:val="00FA48F1"/>
    <w:rsid w:val="00FA56C5"/>
    <w:rsid w:val="00FA72D9"/>
    <w:rsid w:val="00FB14A3"/>
    <w:rsid w:val="00FB15B0"/>
    <w:rsid w:val="00FB1677"/>
    <w:rsid w:val="00FB1C70"/>
    <w:rsid w:val="00FB55F3"/>
    <w:rsid w:val="00FB6FB2"/>
    <w:rsid w:val="00FC1147"/>
    <w:rsid w:val="00FC2569"/>
    <w:rsid w:val="00FC4D7B"/>
    <w:rsid w:val="00FC6B80"/>
    <w:rsid w:val="00FC716F"/>
    <w:rsid w:val="00FC7831"/>
    <w:rsid w:val="00FC7A8B"/>
    <w:rsid w:val="00FC7EE9"/>
    <w:rsid w:val="00FD001B"/>
    <w:rsid w:val="00FD0D61"/>
    <w:rsid w:val="00FD1B0E"/>
    <w:rsid w:val="00FD4265"/>
    <w:rsid w:val="00FD45EE"/>
    <w:rsid w:val="00FD5811"/>
    <w:rsid w:val="00FD582C"/>
    <w:rsid w:val="00FE0B89"/>
    <w:rsid w:val="00FE2183"/>
    <w:rsid w:val="00FE3369"/>
    <w:rsid w:val="00FE37AC"/>
    <w:rsid w:val="00FE3E4F"/>
    <w:rsid w:val="00FE40DC"/>
    <w:rsid w:val="00FE48AF"/>
    <w:rsid w:val="00FE5A4E"/>
    <w:rsid w:val="00FE5A94"/>
    <w:rsid w:val="00FE671A"/>
    <w:rsid w:val="00FF0D54"/>
    <w:rsid w:val="00FF3FF6"/>
    <w:rsid w:val="00FF478E"/>
    <w:rsid w:val="00FF6FB0"/>
    <w:rsid w:val="00FF77EB"/>
    <w:rsid w:val="010454F7"/>
    <w:rsid w:val="012B4701"/>
    <w:rsid w:val="013730A5"/>
    <w:rsid w:val="01436B77"/>
    <w:rsid w:val="015F33CC"/>
    <w:rsid w:val="01957768"/>
    <w:rsid w:val="01C34939"/>
    <w:rsid w:val="01F90AE9"/>
    <w:rsid w:val="02A1111E"/>
    <w:rsid w:val="02CF4B6A"/>
    <w:rsid w:val="030B47EA"/>
    <w:rsid w:val="030D2310"/>
    <w:rsid w:val="03190CB5"/>
    <w:rsid w:val="03502033"/>
    <w:rsid w:val="03AC34B1"/>
    <w:rsid w:val="03C36E72"/>
    <w:rsid w:val="03F77E4E"/>
    <w:rsid w:val="042A6EF2"/>
    <w:rsid w:val="044F3D73"/>
    <w:rsid w:val="05472DDC"/>
    <w:rsid w:val="05C56ED2"/>
    <w:rsid w:val="05E8001F"/>
    <w:rsid w:val="06112117"/>
    <w:rsid w:val="06214080"/>
    <w:rsid w:val="065B3BFA"/>
    <w:rsid w:val="067810C5"/>
    <w:rsid w:val="067D5AF4"/>
    <w:rsid w:val="06FF6413"/>
    <w:rsid w:val="070053C1"/>
    <w:rsid w:val="073C1416"/>
    <w:rsid w:val="078A03D3"/>
    <w:rsid w:val="083D3A51"/>
    <w:rsid w:val="08436094"/>
    <w:rsid w:val="085661C9"/>
    <w:rsid w:val="088A5841"/>
    <w:rsid w:val="08931509"/>
    <w:rsid w:val="08A96526"/>
    <w:rsid w:val="08ED6E6B"/>
    <w:rsid w:val="08FF094D"/>
    <w:rsid w:val="095A1A00"/>
    <w:rsid w:val="09D41DD9"/>
    <w:rsid w:val="0A15233D"/>
    <w:rsid w:val="0A4D56E8"/>
    <w:rsid w:val="0AF63404"/>
    <w:rsid w:val="0AFC15E8"/>
    <w:rsid w:val="0B310B66"/>
    <w:rsid w:val="0B330D82"/>
    <w:rsid w:val="0B81652B"/>
    <w:rsid w:val="0BA23811"/>
    <w:rsid w:val="0BA8707A"/>
    <w:rsid w:val="0BB2024E"/>
    <w:rsid w:val="0BCD71A3"/>
    <w:rsid w:val="0BDF7FEB"/>
    <w:rsid w:val="0C1B3CF0"/>
    <w:rsid w:val="0C6531BD"/>
    <w:rsid w:val="0CA041F5"/>
    <w:rsid w:val="0CDA7E69"/>
    <w:rsid w:val="0D640941"/>
    <w:rsid w:val="0D6B4803"/>
    <w:rsid w:val="0D70149D"/>
    <w:rsid w:val="0D8C7028"/>
    <w:rsid w:val="0DA70F32"/>
    <w:rsid w:val="0DA92552"/>
    <w:rsid w:val="0E1F2D16"/>
    <w:rsid w:val="0E5447B9"/>
    <w:rsid w:val="0EB14497"/>
    <w:rsid w:val="0ECF58A9"/>
    <w:rsid w:val="0F234C69"/>
    <w:rsid w:val="0F383090"/>
    <w:rsid w:val="0F482829"/>
    <w:rsid w:val="0F955B67"/>
    <w:rsid w:val="0FA21667"/>
    <w:rsid w:val="102A1525"/>
    <w:rsid w:val="10390C07"/>
    <w:rsid w:val="109127D2"/>
    <w:rsid w:val="10953945"/>
    <w:rsid w:val="10990C4C"/>
    <w:rsid w:val="10A1358B"/>
    <w:rsid w:val="11192B91"/>
    <w:rsid w:val="111E4DF7"/>
    <w:rsid w:val="113A4C18"/>
    <w:rsid w:val="11890361"/>
    <w:rsid w:val="11A2456B"/>
    <w:rsid w:val="12C624DB"/>
    <w:rsid w:val="12D15108"/>
    <w:rsid w:val="12EE638F"/>
    <w:rsid w:val="133B7D44"/>
    <w:rsid w:val="133E6515"/>
    <w:rsid w:val="138008DC"/>
    <w:rsid w:val="13BE1131"/>
    <w:rsid w:val="14AB0A8C"/>
    <w:rsid w:val="15431C14"/>
    <w:rsid w:val="15AC30AE"/>
    <w:rsid w:val="15EE5FD1"/>
    <w:rsid w:val="160E6673"/>
    <w:rsid w:val="163D2AB4"/>
    <w:rsid w:val="1656490E"/>
    <w:rsid w:val="16681976"/>
    <w:rsid w:val="16732913"/>
    <w:rsid w:val="17616173"/>
    <w:rsid w:val="17D336D0"/>
    <w:rsid w:val="182B168C"/>
    <w:rsid w:val="185540E5"/>
    <w:rsid w:val="187B2F6F"/>
    <w:rsid w:val="187F1162"/>
    <w:rsid w:val="18CB6138"/>
    <w:rsid w:val="18D111E9"/>
    <w:rsid w:val="18E436BB"/>
    <w:rsid w:val="19D2231C"/>
    <w:rsid w:val="1A6D3D10"/>
    <w:rsid w:val="1A8048D6"/>
    <w:rsid w:val="1A824F3A"/>
    <w:rsid w:val="1B0C1A2F"/>
    <w:rsid w:val="1BA34347"/>
    <w:rsid w:val="1CD039FB"/>
    <w:rsid w:val="1D7768AC"/>
    <w:rsid w:val="1DB7139E"/>
    <w:rsid w:val="1DF75C3F"/>
    <w:rsid w:val="1F136AA8"/>
    <w:rsid w:val="1F330EF8"/>
    <w:rsid w:val="1F5D3664"/>
    <w:rsid w:val="1F812BD5"/>
    <w:rsid w:val="1FBD242D"/>
    <w:rsid w:val="1FFB7C68"/>
    <w:rsid w:val="20106833"/>
    <w:rsid w:val="20976314"/>
    <w:rsid w:val="20C604C9"/>
    <w:rsid w:val="20C938C2"/>
    <w:rsid w:val="20F546B7"/>
    <w:rsid w:val="213D605E"/>
    <w:rsid w:val="217C0935"/>
    <w:rsid w:val="21EB1616"/>
    <w:rsid w:val="21F2713B"/>
    <w:rsid w:val="22631AF5"/>
    <w:rsid w:val="226A4C31"/>
    <w:rsid w:val="23316C48"/>
    <w:rsid w:val="233A2855"/>
    <w:rsid w:val="2346654E"/>
    <w:rsid w:val="24337281"/>
    <w:rsid w:val="24374FE7"/>
    <w:rsid w:val="246A0F18"/>
    <w:rsid w:val="24853FA4"/>
    <w:rsid w:val="24F2466B"/>
    <w:rsid w:val="25056E93"/>
    <w:rsid w:val="25274C13"/>
    <w:rsid w:val="2557148B"/>
    <w:rsid w:val="26B7240F"/>
    <w:rsid w:val="26CB1A16"/>
    <w:rsid w:val="26D27249"/>
    <w:rsid w:val="273B094A"/>
    <w:rsid w:val="277E4098"/>
    <w:rsid w:val="279D2BB8"/>
    <w:rsid w:val="279D33B3"/>
    <w:rsid w:val="28041684"/>
    <w:rsid w:val="28694885"/>
    <w:rsid w:val="28FB4835"/>
    <w:rsid w:val="29586F2B"/>
    <w:rsid w:val="2A247DBB"/>
    <w:rsid w:val="2A3C3357"/>
    <w:rsid w:val="2B364473"/>
    <w:rsid w:val="2B7E4AAA"/>
    <w:rsid w:val="2BC64D57"/>
    <w:rsid w:val="2C016606"/>
    <w:rsid w:val="2CD73493"/>
    <w:rsid w:val="2D9149BE"/>
    <w:rsid w:val="2DCB2E33"/>
    <w:rsid w:val="2DE24215"/>
    <w:rsid w:val="2E0501E3"/>
    <w:rsid w:val="2E424CB4"/>
    <w:rsid w:val="2E9A5595"/>
    <w:rsid w:val="2F065CE2"/>
    <w:rsid w:val="2F8A06C1"/>
    <w:rsid w:val="2FAC6889"/>
    <w:rsid w:val="2FDC52C2"/>
    <w:rsid w:val="301937F3"/>
    <w:rsid w:val="30515682"/>
    <w:rsid w:val="30C44EE2"/>
    <w:rsid w:val="311961A0"/>
    <w:rsid w:val="315E0A0B"/>
    <w:rsid w:val="318555E4"/>
    <w:rsid w:val="31B934DF"/>
    <w:rsid w:val="31CC2103"/>
    <w:rsid w:val="3265298A"/>
    <w:rsid w:val="32867865"/>
    <w:rsid w:val="328C29A2"/>
    <w:rsid w:val="334173B4"/>
    <w:rsid w:val="3356647E"/>
    <w:rsid w:val="335D48C0"/>
    <w:rsid w:val="33F774B3"/>
    <w:rsid w:val="33FE167D"/>
    <w:rsid w:val="340665FE"/>
    <w:rsid w:val="34126ED7"/>
    <w:rsid w:val="34142C4F"/>
    <w:rsid w:val="34A8568F"/>
    <w:rsid w:val="34D36666"/>
    <w:rsid w:val="35492372"/>
    <w:rsid w:val="362261F0"/>
    <w:rsid w:val="362325B3"/>
    <w:rsid w:val="362D7FF8"/>
    <w:rsid w:val="36BA7DC8"/>
    <w:rsid w:val="36EA7C97"/>
    <w:rsid w:val="371149ED"/>
    <w:rsid w:val="371D2971"/>
    <w:rsid w:val="37205FF6"/>
    <w:rsid w:val="37227D0E"/>
    <w:rsid w:val="37913037"/>
    <w:rsid w:val="3801173C"/>
    <w:rsid w:val="38224A48"/>
    <w:rsid w:val="386B12D1"/>
    <w:rsid w:val="38BC28F2"/>
    <w:rsid w:val="38C74734"/>
    <w:rsid w:val="38D1679F"/>
    <w:rsid w:val="38DE382B"/>
    <w:rsid w:val="390B4E92"/>
    <w:rsid w:val="391A5E55"/>
    <w:rsid w:val="399F06FC"/>
    <w:rsid w:val="39B0341A"/>
    <w:rsid w:val="39B66B3A"/>
    <w:rsid w:val="39D7014C"/>
    <w:rsid w:val="39F74718"/>
    <w:rsid w:val="3A2E6291"/>
    <w:rsid w:val="3A654204"/>
    <w:rsid w:val="3AA765CB"/>
    <w:rsid w:val="3AEC66D3"/>
    <w:rsid w:val="3AFF1D5B"/>
    <w:rsid w:val="3B1A0A62"/>
    <w:rsid w:val="3B3911ED"/>
    <w:rsid w:val="3B491430"/>
    <w:rsid w:val="3B6E533A"/>
    <w:rsid w:val="3B92468A"/>
    <w:rsid w:val="3B9C58BB"/>
    <w:rsid w:val="3C2D0D52"/>
    <w:rsid w:val="3C6D114E"/>
    <w:rsid w:val="3CAF1767"/>
    <w:rsid w:val="3CB73E2A"/>
    <w:rsid w:val="3CC31ACB"/>
    <w:rsid w:val="3CD40FCB"/>
    <w:rsid w:val="3CEE733C"/>
    <w:rsid w:val="3D123A7C"/>
    <w:rsid w:val="3DF31B27"/>
    <w:rsid w:val="3E77120E"/>
    <w:rsid w:val="3F3E5024"/>
    <w:rsid w:val="3F9A1904"/>
    <w:rsid w:val="3FA00412"/>
    <w:rsid w:val="40646D0C"/>
    <w:rsid w:val="40D60FAA"/>
    <w:rsid w:val="40E816EB"/>
    <w:rsid w:val="418D4040"/>
    <w:rsid w:val="427F2D45"/>
    <w:rsid w:val="4287441C"/>
    <w:rsid w:val="42AF2943"/>
    <w:rsid w:val="42B555FD"/>
    <w:rsid w:val="42D118B4"/>
    <w:rsid w:val="42F77DE4"/>
    <w:rsid w:val="4331229B"/>
    <w:rsid w:val="43873618"/>
    <w:rsid w:val="438945E6"/>
    <w:rsid w:val="44DC4EAC"/>
    <w:rsid w:val="45146AD8"/>
    <w:rsid w:val="46276812"/>
    <w:rsid w:val="463F52A6"/>
    <w:rsid w:val="46511AE0"/>
    <w:rsid w:val="466B2BA2"/>
    <w:rsid w:val="467C4DAF"/>
    <w:rsid w:val="46E110B6"/>
    <w:rsid w:val="4710374A"/>
    <w:rsid w:val="475156EB"/>
    <w:rsid w:val="475E0317"/>
    <w:rsid w:val="475E2380"/>
    <w:rsid w:val="47B36031"/>
    <w:rsid w:val="47E250E6"/>
    <w:rsid w:val="47ED3A8B"/>
    <w:rsid w:val="487A76C7"/>
    <w:rsid w:val="48D80949"/>
    <w:rsid w:val="48F36E7F"/>
    <w:rsid w:val="492D4BCC"/>
    <w:rsid w:val="49734ABC"/>
    <w:rsid w:val="498B41F8"/>
    <w:rsid w:val="49FC542B"/>
    <w:rsid w:val="4A3F3BEF"/>
    <w:rsid w:val="4A743FEF"/>
    <w:rsid w:val="4AB1581B"/>
    <w:rsid w:val="4B254861"/>
    <w:rsid w:val="4B4340EE"/>
    <w:rsid w:val="4B571947"/>
    <w:rsid w:val="4BFC429C"/>
    <w:rsid w:val="4C1753ED"/>
    <w:rsid w:val="4C213D03"/>
    <w:rsid w:val="4C514FD7"/>
    <w:rsid w:val="4C6D519A"/>
    <w:rsid w:val="4C9D3ED0"/>
    <w:rsid w:val="4C9E5354"/>
    <w:rsid w:val="4CCF0345"/>
    <w:rsid w:val="4D137AF0"/>
    <w:rsid w:val="4D322D6F"/>
    <w:rsid w:val="4D3F2693"/>
    <w:rsid w:val="4D6C4468"/>
    <w:rsid w:val="4DBB6633"/>
    <w:rsid w:val="4DD03C33"/>
    <w:rsid w:val="4E5E2FD9"/>
    <w:rsid w:val="4E877F24"/>
    <w:rsid w:val="4EC54E1A"/>
    <w:rsid w:val="4F165675"/>
    <w:rsid w:val="4FA829A2"/>
    <w:rsid w:val="4FA9473B"/>
    <w:rsid w:val="50624F18"/>
    <w:rsid w:val="5066333C"/>
    <w:rsid w:val="508807F5"/>
    <w:rsid w:val="50D31909"/>
    <w:rsid w:val="51171122"/>
    <w:rsid w:val="516550FE"/>
    <w:rsid w:val="51C91BD1"/>
    <w:rsid w:val="522B7D04"/>
    <w:rsid w:val="5253273C"/>
    <w:rsid w:val="52CD24EF"/>
    <w:rsid w:val="531743BB"/>
    <w:rsid w:val="531C302F"/>
    <w:rsid w:val="53D10375"/>
    <w:rsid w:val="540E23F8"/>
    <w:rsid w:val="54177EC5"/>
    <w:rsid w:val="542D0864"/>
    <w:rsid w:val="546E2E14"/>
    <w:rsid w:val="54F26E43"/>
    <w:rsid w:val="552F2F4E"/>
    <w:rsid w:val="56680EAC"/>
    <w:rsid w:val="569C6DA8"/>
    <w:rsid w:val="572C622D"/>
    <w:rsid w:val="573C3894"/>
    <w:rsid w:val="57810B4C"/>
    <w:rsid w:val="57961A49"/>
    <w:rsid w:val="5799146C"/>
    <w:rsid w:val="5818245E"/>
    <w:rsid w:val="584D5499"/>
    <w:rsid w:val="587F45E2"/>
    <w:rsid w:val="58860E72"/>
    <w:rsid w:val="589C6BEB"/>
    <w:rsid w:val="58AB7726"/>
    <w:rsid w:val="58B55EFF"/>
    <w:rsid w:val="58CB74D0"/>
    <w:rsid w:val="58F10CF8"/>
    <w:rsid w:val="59DE0CA7"/>
    <w:rsid w:val="59F82547"/>
    <w:rsid w:val="5A103962"/>
    <w:rsid w:val="5A9E773A"/>
    <w:rsid w:val="5AA004E9"/>
    <w:rsid w:val="5AB50438"/>
    <w:rsid w:val="5B0B62AA"/>
    <w:rsid w:val="5B121DD7"/>
    <w:rsid w:val="5B461090"/>
    <w:rsid w:val="5B4B48F9"/>
    <w:rsid w:val="5B4F263B"/>
    <w:rsid w:val="5B6854AA"/>
    <w:rsid w:val="5BD90156"/>
    <w:rsid w:val="5BDE576D"/>
    <w:rsid w:val="5C0D61FE"/>
    <w:rsid w:val="5CA16EC6"/>
    <w:rsid w:val="5CD34BA6"/>
    <w:rsid w:val="5CE33B51"/>
    <w:rsid w:val="5D1D22C5"/>
    <w:rsid w:val="5DA16A52"/>
    <w:rsid w:val="5E0941FD"/>
    <w:rsid w:val="5E6463FD"/>
    <w:rsid w:val="5EA66A16"/>
    <w:rsid w:val="5ED906CF"/>
    <w:rsid w:val="5EDC3D95"/>
    <w:rsid w:val="5F2D48AB"/>
    <w:rsid w:val="5F5226F9"/>
    <w:rsid w:val="5FF9489B"/>
    <w:rsid w:val="607A7883"/>
    <w:rsid w:val="60911FAC"/>
    <w:rsid w:val="60B13450"/>
    <w:rsid w:val="60B60A66"/>
    <w:rsid w:val="60CF14B0"/>
    <w:rsid w:val="61092146"/>
    <w:rsid w:val="612003CD"/>
    <w:rsid w:val="612400C6"/>
    <w:rsid w:val="61A42FB4"/>
    <w:rsid w:val="61AE5BE1"/>
    <w:rsid w:val="61CD49EB"/>
    <w:rsid w:val="61EF732C"/>
    <w:rsid w:val="626562A0"/>
    <w:rsid w:val="6272300B"/>
    <w:rsid w:val="62A82630"/>
    <w:rsid w:val="63D062E3"/>
    <w:rsid w:val="63D159F1"/>
    <w:rsid w:val="645B63B1"/>
    <w:rsid w:val="64E2007C"/>
    <w:rsid w:val="64EA5182"/>
    <w:rsid w:val="6519541E"/>
    <w:rsid w:val="655C6080"/>
    <w:rsid w:val="660C4022"/>
    <w:rsid w:val="663012BB"/>
    <w:rsid w:val="66855163"/>
    <w:rsid w:val="66B23A7E"/>
    <w:rsid w:val="671169F6"/>
    <w:rsid w:val="672A5D0A"/>
    <w:rsid w:val="67B165AB"/>
    <w:rsid w:val="67B6134C"/>
    <w:rsid w:val="681F15E7"/>
    <w:rsid w:val="68CB0E27"/>
    <w:rsid w:val="69333467"/>
    <w:rsid w:val="69540E1C"/>
    <w:rsid w:val="695928D6"/>
    <w:rsid w:val="69960847"/>
    <w:rsid w:val="6A2335CC"/>
    <w:rsid w:val="6A303173"/>
    <w:rsid w:val="6A771266"/>
    <w:rsid w:val="6A843983"/>
    <w:rsid w:val="6A8676FB"/>
    <w:rsid w:val="6B1432CE"/>
    <w:rsid w:val="6B4A6A35"/>
    <w:rsid w:val="6BC663BE"/>
    <w:rsid w:val="6C175176"/>
    <w:rsid w:val="6CB058BF"/>
    <w:rsid w:val="6D57537F"/>
    <w:rsid w:val="6DD61B29"/>
    <w:rsid w:val="6E6C4C84"/>
    <w:rsid w:val="6EF70BAB"/>
    <w:rsid w:val="6F1647E5"/>
    <w:rsid w:val="6F3D750D"/>
    <w:rsid w:val="6FAA5C3A"/>
    <w:rsid w:val="702262D7"/>
    <w:rsid w:val="70651B8C"/>
    <w:rsid w:val="70700C31"/>
    <w:rsid w:val="70775FB4"/>
    <w:rsid w:val="71265794"/>
    <w:rsid w:val="7151302D"/>
    <w:rsid w:val="71531051"/>
    <w:rsid w:val="71816E6E"/>
    <w:rsid w:val="71B53F0B"/>
    <w:rsid w:val="72943779"/>
    <w:rsid w:val="72957CA7"/>
    <w:rsid w:val="72E651DB"/>
    <w:rsid w:val="7363682B"/>
    <w:rsid w:val="736E6F7E"/>
    <w:rsid w:val="737C741B"/>
    <w:rsid w:val="7395275D"/>
    <w:rsid w:val="73A86934"/>
    <w:rsid w:val="73C508D6"/>
    <w:rsid w:val="73E3171A"/>
    <w:rsid w:val="7439223A"/>
    <w:rsid w:val="745919DD"/>
    <w:rsid w:val="74685188"/>
    <w:rsid w:val="74E23E44"/>
    <w:rsid w:val="754F4362"/>
    <w:rsid w:val="75864A53"/>
    <w:rsid w:val="75947170"/>
    <w:rsid w:val="75B16ECE"/>
    <w:rsid w:val="76067792"/>
    <w:rsid w:val="77197669"/>
    <w:rsid w:val="77C41863"/>
    <w:rsid w:val="77DE0694"/>
    <w:rsid w:val="77DF61A2"/>
    <w:rsid w:val="788A485A"/>
    <w:rsid w:val="78A51694"/>
    <w:rsid w:val="78CF04BF"/>
    <w:rsid w:val="78D37FAF"/>
    <w:rsid w:val="78E245F3"/>
    <w:rsid w:val="78F253FD"/>
    <w:rsid w:val="790D1B04"/>
    <w:rsid w:val="797C0647"/>
    <w:rsid w:val="79A74F98"/>
    <w:rsid w:val="7A1B2A61"/>
    <w:rsid w:val="7A476A24"/>
    <w:rsid w:val="7B191EC6"/>
    <w:rsid w:val="7B542EFE"/>
    <w:rsid w:val="7BA774D1"/>
    <w:rsid w:val="7BE91550"/>
    <w:rsid w:val="7BF24BF0"/>
    <w:rsid w:val="7C891EA0"/>
    <w:rsid w:val="7C8B25BB"/>
    <w:rsid w:val="7C9B5A33"/>
    <w:rsid w:val="7CC33E38"/>
    <w:rsid w:val="7CC54FDF"/>
    <w:rsid w:val="7D33726F"/>
    <w:rsid w:val="7DB36601"/>
    <w:rsid w:val="7DCB55B3"/>
    <w:rsid w:val="7DF77221"/>
    <w:rsid w:val="7E1075B0"/>
    <w:rsid w:val="7E4B683A"/>
    <w:rsid w:val="7EE527EB"/>
    <w:rsid w:val="7FBB5FB1"/>
    <w:rsid w:val="7FBD79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20" w:lineRule="exact"/>
      <w:ind w:firstLine="200" w:firstLineChars="200"/>
    </w:pPr>
    <w:rPr>
      <w:rFonts w:ascii="Times New Roman" w:hAnsi="Times New Roman" w:eastAsia="仿宋_GB2312" w:cstheme="minorBidi"/>
      <w:kern w:val="2"/>
      <w:sz w:val="28"/>
      <w:szCs w:val="22"/>
      <w:lang w:val="en-US" w:eastAsia="zh-CN" w:bidi="ar-SA"/>
    </w:rPr>
  </w:style>
  <w:style w:type="paragraph" w:styleId="2">
    <w:name w:val="heading 1"/>
    <w:basedOn w:val="1"/>
    <w:next w:val="1"/>
    <w:link w:val="31"/>
    <w:qFormat/>
    <w:uiPriority w:val="9"/>
    <w:pPr>
      <w:keepNext/>
      <w:keepLines/>
      <w:spacing w:before="500" w:after="300" w:line="360" w:lineRule="auto"/>
      <w:jc w:val="center"/>
      <w:outlineLvl w:val="0"/>
    </w:pPr>
    <w:rPr>
      <w:rFonts w:eastAsia="黑体"/>
      <w:bCs/>
      <w:kern w:val="44"/>
      <w:sz w:val="44"/>
      <w:szCs w:val="44"/>
    </w:rPr>
  </w:style>
  <w:style w:type="paragraph" w:styleId="3">
    <w:name w:val="heading 2"/>
    <w:basedOn w:val="1"/>
    <w:next w:val="1"/>
    <w:link w:val="32"/>
    <w:unhideWhenUsed/>
    <w:qFormat/>
    <w:uiPriority w:val="9"/>
    <w:pPr>
      <w:keepNext/>
      <w:keepLines/>
      <w:spacing w:before="260" w:after="260" w:line="416" w:lineRule="auto"/>
      <w:outlineLvl w:val="1"/>
    </w:pPr>
    <w:rPr>
      <w:rFonts w:asciiTheme="majorHAnsi" w:hAnsiTheme="majorHAnsi" w:cstheme="majorBidi"/>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37"/>
    <w:qFormat/>
    <w:uiPriority w:val="0"/>
    <w:pPr>
      <w:widowControl/>
      <w:spacing w:line="360" w:lineRule="auto"/>
    </w:pPr>
    <w:rPr>
      <w:rFonts w:eastAsiaTheme="minorEastAsia"/>
      <w:sz w:val="21"/>
      <w:szCs w:val="24"/>
    </w:rPr>
  </w:style>
  <w:style w:type="paragraph" w:styleId="5">
    <w:name w:val="annotation text"/>
    <w:basedOn w:val="1"/>
    <w:link w:val="33"/>
    <w:unhideWhenUsed/>
    <w:qFormat/>
    <w:uiPriority w:val="99"/>
  </w:style>
  <w:style w:type="paragraph" w:styleId="6">
    <w:name w:val="Body Text"/>
    <w:basedOn w:val="1"/>
    <w:next w:val="7"/>
    <w:qFormat/>
    <w:uiPriority w:val="0"/>
    <w:pPr>
      <w:spacing w:line="360" w:lineRule="exact"/>
      <w:ind w:firstLine="0" w:firstLineChars="0"/>
      <w:jc w:val="both"/>
    </w:pPr>
  </w:style>
  <w:style w:type="paragraph" w:styleId="7">
    <w:name w:val="Body Text First Indent"/>
    <w:basedOn w:val="6"/>
    <w:next w:val="1"/>
    <w:unhideWhenUsed/>
    <w:qFormat/>
    <w:uiPriority w:val="99"/>
    <w:pPr>
      <w:spacing w:line="360" w:lineRule="auto"/>
      <w:ind w:firstLine="200" w:firstLineChars="200"/>
      <w:jc w:val="left"/>
    </w:pPr>
    <w:rPr>
      <w:bCs/>
    </w:rPr>
  </w:style>
  <w:style w:type="paragraph" w:styleId="8">
    <w:name w:val="Body Text Indent"/>
    <w:basedOn w:val="1"/>
    <w:link w:val="46"/>
    <w:qFormat/>
    <w:uiPriority w:val="0"/>
    <w:pPr>
      <w:spacing w:before="120" w:after="120" w:line="400" w:lineRule="atLeast"/>
      <w:ind w:firstLine="510"/>
    </w:pPr>
    <w:rPr>
      <w:rFonts w:cs="Times New Roman"/>
      <w:szCs w:val="20"/>
    </w:rPr>
  </w:style>
  <w:style w:type="paragraph" w:styleId="9">
    <w:name w:val="toc 3"/>
    <w:basedOn w:val="1"/>
    <w:next w:val="1"/>
    <w:unhideWhenUsed/>
    <w:qFormat/>
    <w:uiPriority w:val="39"/>
    <w:pPr>
      <w:widowControl/>
      <w:spacing w:after="100" w:line="259" w:lineRule="auto"/>
      <w:ind w:left="440"/>
    </w:pPr>
    <w:rPr>
      <w:rFonts w:cs="Times New Roman" w:eastAsiaTheme="minorEastAsia"/>
      <w:kern w:val="0"/>
      <w:sz w:val="22"/>
    </w:rPr>
  </w:style>
  <w:style w:type="paragraph" w:styleId="10">
    <w:name w:val="Plain Text"/>
    <w:basedOn w:val="1"/>
    <w:next w:val="1"/>
    <w:link w:val="47"/>
    <w:qFormat/>
    <w:uiPriority w:val="0"/>
    <w:rPr>
      <w:rFonts w:ascii="宋体" w:hAnsi="Courier New" w:cs="Times New Roman"/>
      <w:sz w:val="21"/>
      <w:szCs w:val="20"/>
    </w:rPr>
  </w:style>
  <w:style w:type="paragraph" w:styleId="11">
    <w:name w:val="Date"/>
    <w:basedOn w:val="1"/>
    <w:next w:val="1"/>
    <w:link w:val="35"/>
    <w:unhideWhenUsed/>
    <w:qFormat/>
    <w:uiPriority w:val="99"/>
    <w:pPr>
      <w:ind w:left="100" w:leftChars="2500"/>
    </w:pPr>
  </w:style>
  <w:style w:type="paragraph" w:styleId="12">
    <w:name w:val="Body Text Indent 2"/>
    <w:basedOn w:val="1"/>
    <w:link w:val="48"/>
    <w:qFormat/>
    <w:uiPriority w:val="0"/>
    <w:pPr>
      <w:spacing w:line="540" w:lineRule="atLeast"/>
      <w:ind w:firstLine="566" w:firstLineChars="177"/>
    </w:pPr>
    <w:rPr>
      <w:rFonts w:ascii="仿宋_GB2312" w:cs="Times New Roman"/>
      <w:sz w:val="32"/>
      <w:szCs w:val="24"/>
      <w:u w:val="single"/>
    </w:rPr>
  </w:style>
  <w:style w:type="paragraph" w:styleId="13">
    <w:name w:val="Balloon Text"/>
    <w:basedOn w:val="1"/>
    <w:link w:val="30"/>
    <w:unhideWhenUsed/>
    <w:qFormat/>
    <w:uiPriority w:val="99"/>
    <w:rPr>
      <w:sz w:val="18"/>
      <w:szCs w:val="18"/>
    </w:rPr>
  </w:style>
  <w:style w:type="paragraph" w:styleId="14">
    <w:name w:val="footer"/>
    <w:basedOn w:val="1"/>
    <w:link w:val="29"/>
    <w:unhideWhenUsed/>
    <w:qFormat/>
    <w:uiPriority w:val="0"/>
    <w:pPr>
      <w:tabs>
        <w:tab w:val="center" w:pos="4153"/>
        <w:tab w:val="right" w:pos="8306"/>
      </w:tabs>
      <w:snapToGrid w:val="0"/>
    </w:pPr>
    <w:rPr>
      <w:sz w:val="18"/>
      <w:szCs w:val="18"/>
    </w:rPr>
  </w:style>
  <w:style w:type="paragraph" w:styleId="15">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pPr>
      <w:widowControl/>
      <w:spacing w:after="100" w:line="259" w:lineRule="auto"/>
    </w:pPr>
    <w:rPr>
      <w:rFonts w:eastAsia="宋体" w:cs="Times New Roman"/>
      <w:kern w:val="0"/>
      <w:sz w:val="32"/>
    </w:rPr>
  </w:style>
  <w:style w:type="paragraph" w:styleId="17">
    <w:name w:val="Body Text Indent 3"/>
    <w:basedOn w:val="1"/>
    <w:link w:val="49"/>
    <w:qFormat/>
    <w:uiPriority w:val="0"/>
    <w:pPr>
      <w:spacing w:line="540" w:lineRule="atLeast"/>
      <w:ind w:firstLine="640"/>
    </w:pPr>
    <w:rPr>
      <w:rFonts w:ascii="仿宋_GB2312" w:cs="Times New Roman"/>
      <w:sz w:val="32"/>
      <w:szCs w:val="24"/>
      <w:u w:val="single"/>
    </w:rPr>
  </w:style>
  <w:style w:type="paragraph" w:styleId="18">
    <w:name w:val="toc 2"/>
    <w:basedOn w:val="1"/>
    <w:next w:val="1"/>
    <w:unhideWhenUsed/>
    <w:qFormat/>
    <w:uiPriority w:val="39"/>
    <w:pPr>
      <w:widowControl/>
      <w:spacing w:after="100" w:line="259" w:lineRule="auto"/>
      <w:ind w:left="220"/>
    </w:pPr>
    <w:rPr>
      <w:rFonts w:cs="Times New Roman" w:eastAsiaTheme="minorEastAsia"/>
      <w:kern w:val="0"/>
      <w:sz w:val="22"/>
    </w:rPr>
  </w:style>
  <w:style w:type="paragraph" w:styleId="19">
    <w:name w:val="Normal (Web)"/>
    <w:basedOn w:val="1"/>
    <w:qFormat/>
    <w:uiPriority w:val="0"/>
    <w:pPr>
      <w:widowControl/>
      <w:spacing w:before="100" w:beforeAutospacing="1" w:after="100" w:afterAutospacing="1"/>
    </w:pPr>
    <w:rPr>
      <w:rFonts w:ascii="宋体" w:hAnsi="宋体" w:cs="Times New Roman"/>
      <w:kern w:val="0"/>
      <w:szCs w:val="24"/>
    </w:rPr>
  </w:style>
  <w:style w:type="paragraph" w:styleId="20">
    <w:name w:val="annotation subject"/>
    <w:basedOn w:val="5"/>
    <w:next w:val="5"/>
    <w:link w:val="34"/>
    <w:unhideWhenUsed/>
    <w:qFormat/>
    <w:uiPriority w:val="99"/>
    <w:rPr>
      <w:b/>
      <w:bCs/>
    </w:rPr>
  </w:style>
  <w:style w:type="paragraph" w:styleId="21">
    <w:name w:val="Body Text First Indent 2"/>
    <w:basedOn w:val="8"/>
    <w:link w:val="51"/>
    <w:unhideWhenUsed/>
    <w:qFormat/>
    <w:uiPriority w:val="99"/>
    <w:pPr>
      <w:spacing w:before="0" w:line="240" w:lineRule="auto"/>
      <w:ind w:left="420" w:leftChars="200" w:firstLine="420"/>
    </w:pPr>
    <w:rPr>
      <w:rFonts w:asciiTheme="minorHAnsi" w:hAnsiTheme="minorHAnsi" w:cstheme="minorBidi"/>
      <w:szCs w:val="22"/>
    </w:r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Hyperlink"/>
    <w:basedOn w:val="24"/>
    <w:qFormat/>
    <w:uiPriority w:val="99"/>
    <w:rPr>
      <w:color w:val="0000FF"/>
      <w:u w:val="single"/>
    </w:rPr>
  </w:style>
  <w:style w:type="character" w:styleId="26">
    <w:name w:val="annotation reference"/>
    <w:basedOn w:val="24"/>
    <w:unhideWhenUsed/>
    <w:qFormat/>
    <w:uiPriority w:val="99"/>
    <w:rPr>
      <w:sz w:val="21"/>
      <w:szCs w:val="21"/>
    </w:rPr>
  </w:style>
  <w:style w:type="paragraph" w:customStyle="1" w:styleId="27">
    <w:name w:val="表格文字"/>
    <w:basedOn w:val="1"/>
    <w:next w:val="6"/>
    <w:qFormat/>
    <w:uiPriority w:val="0"/>
    <w:pPr>
      <w:adjustRightInd w:val="0"/>
      <w:spacing w:line="420" w:lineRule="atLeast"/>
      <w:textAlignment w:val="baseline"/>
    </w:pPr>
  </w:style>
  <w:style w:type="character" w:customStyle="1" w:styleId="28">
    <w:name w:val="页眉 字符"/>
    <w:basedOn w:val="24"/>
    <w:link w:val="15"/>
    <w:qFormat/>
    <w:uiPriority w:val="99"/>
    <w:rPr>
      <w:sz w:val="18"/>
      <w:szCs w:val="18"/>
    </w:rPr>
  </w:style>
  <w:style w:type="character" w:customStyle="1" w:styleId="29">
    <w:name w:val="页脚 字符"/>
    <w:basedOn w:val="24"/>
    <w:link w:val="14"/>
    <w:qFormat/>
    <w:uiPriority w:val="99"/>
    <w:rPr>
      <w:sz w:val="18"/>
      <w:szCs w:val="18"/>
    </w:rPr>
  </w:style>
  <w:style w:type="character" w:customStyle="1" w:styleId="30">
    <w:name w:val="批注框文本 字符"/>
    <w:basedOn w:val="24"/>
    <w:link w:val="13"/>
    <w:semiHidden/>
    <w:qFormat/>
    <w:uiPriority w:val="99"/>
    <w:rPr>
      <w:sz w:val="18"/>
      <w:szCs w:val="18"/>
    </w:rPr>
  </w:style>
  <w:style w:type="character" w:customStyle="1" w:styleId="31">
    <w:name w:val="标题 1 字符"/>
    <w:basedOn w:val="24"/>
    <w:link w:val="2"/>
    <w:qFormat/>
    <w:uiPriority w:val="9"/>
    <w:rPr>
      <w:rFonts w:eastAsia="黑体" w:cstheme="minorBidi"/>
      <w:bCs/>
      <w:kern w:val="44"/>
      <w:sz w:val="44"/>
      <w:szCs w:val="44"/>
    </w:rPr>
  </w:style>
  <w:style w:type="character" w:customStyle="1" w:styleId="32">
    <w:name w:val="标题 2 字符"/>
    <w:basedOn w:val="24"/>
    <w:link w:val="3"/>
    <w:qFormat/>
    <w:uiPriority w:val="9"/>
    <w:rPr>
      <w:rFonts w:eastAsia="宋体" w:asciiTheme="majorHAnsi" w:hAnsiTheme="majorHAnsi" w:cstheme="majorBidi"/>
      <w:b/>
      <w:bCs/>
      <w:sz w:val="32"/>
      <w:szCs w:val="32"/>
    </w:rPr>
  </w:style>
  <w:style w:type="character" w:customStyle="1" w:styleId="33">
    <w:name w:val="批注文字 字符"/>
    <w:basedOn w:val="24"/>
    <w:link w:val="5"/>
    <w:qFormat/>
    <w:uiPriority w:val="99"/>
    <w:rPr>
      <w:rFonts w:eastAsia="宋体"/>
    </w:rPr>
  </w:style>
  <w:style w:type="character" w:customStyle="1" w:styleId="34">
    <w:name w:val="批注主题 字符"/>
    <w:basedOn w:val="33"/>
    <w:link w:val="20"/>
    <w:semiHidden/>
    <w:qFormat/>
    <w:uiPriority w:val="99"/>
    <w:rPr>
      <w:rFonts w:eastAsia="宋体"/>
      <w:b/>
      <w:bCs/>
    </w:rPr>
  </w:style>
  <w:style w:type="character" w:customStyle="1" w:styleId="35">
    <w:name w:val="日期 字符"/>
    <w:basedOn w:val="24"/>
    <w:link w:val="11"/>
    <w:semiHidden/>
    <w:qFormat/>
    <w:uiPriority w:val="99"/>
    <w:rPr>
      <w:rFonts w:eastAsia="宋体"/>
    </w:rPr>
  </w:style>
  <w:style w:type="paragraph" w:customStyle="1" w:styleId="36">
    <w:name w:val="列表段落1"/>
    <w:basedOn w:val="1"/>
    <w:qFormat/>
    <w:uiPriority w:val="34"/>
    <w:pPr>
      <w:ind w:firstLine="420"/>
    </w:pPr>
  </w:style>
  <w:style w:type="character" w:customStyle="1" w:styleId="37">
    <w:name w:val="正文缩进 字符"/>
    <w:link w:val="4"/>
    <w:qFormat/>
    <w:uiPriority w:val="0"/>
    <w:rPr>
      <w:szCs w:val="24"/>
    </w:rPr>
  </w:style>
  <w:style w:type="paragraph" w:customStyle="1" w:styleId="38">
    <w:name w:val="Table Paragraph"/>
    <w:basedOn w:val="1"/>
    <w:qFormat/>
    <w:uiPriority w:val="1"/>
    <w:pPr>
      <w:widowControl/>
      <w:spacing w:line="360" w:lineRule="auto"/>
    </w:pPr>
    <w:rPr>
      <w:rFonts w:ascii="Calibri" w:hAnsi="Calibri" w:cs="Times New Roman"/>
      <w:kern w:val="0"/>
      <w:sz w:val="22"/>
      <w:lang w:eastAsia="en-US"/>
    </w:rPr>
  </w:style>
  <w:style w:type="paragraph" w:customStyle="1" w:styleId="39">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bCs w:val="0"/>
      <w:color w:val="2F5597" w:themeColor="accent1" w:themeShade="BF"/>
      <w:kern w:val="0"/>
      <w:sz w:val="32"/>
      <w:szCs w:val="32"/>
    </w:rPr>
  </w:style>
  <w:style w:type="paragraph" w:customStyle="1" w:styleId="40">
    <w:name w:val="Normal_5"/>
    <w:qFormat/>
    <w:uiPriority w:val="0"/>
    <w:pPr>
      <w:widowControl w:val="0"/>
      <w:jc w:val="both"/>
    </w:pPr>
    <w:rPr>
      <w:rFonts w:asciiTheme="minorHAnsi" w:hAnsiTheme="minorHAnsi" w:eastAsiaTheme="minorEastAsia" w:cstheme="minorBidi"/>
      <w:lang w:val="en-US" w:eastAsia="zh-CN" w:bidi="ar-SA"/>
    </w:rPr>
  </w:style>
  <w:style w:type="paragraph" w:customStyle="1" w:styleId="41">
    <w:name w:val="Normal_3"/>
    <w:qFormat/>
    <w:uiPriority w:val="0"/>
    <w:pPr>
      <w:widowControl w:val="0"/>
      <w:jc w:val="both"/>
    </w:pPr>
    <w:rPr>
      <w:rFonts w:asciiTheme="minorHAnsi" w:hAnsiTheme="minorHAnsi" w:eastAsiaTheme="minorEastAsia" w:cstheme="minorBidi"/>
      <w:lang w:val="en-US" w:eastAsia="zh-CN" w:bidi="ar-SA"/>
    </w:rPr>
  </w:style>
  <w:style w:type="paragraph" w:styleId="42">
    <w:name w:val="List Paragraph"/>
    <w:basedOn w:val="1"/>
    <w:qFormat/>
    <w:uiPriority w:val="34"/>
    <w:pPr>
      <w:ind w:firstLine="420"/>
    </w:pPr>
  </w:style>
  <w:style w:type="paragraph" w:customStyle="1" w:styleId="43">
    <w:name w:val="Normal_4"/>
    <w:qFormat/>
    <w:uiPriority w:val="0"/>
    <w:pPr>
      <w:widowControl w:val="0"/>
      <w:jc w:val="both"/>
    </w:pPr>
    <w:rPr>
      <w:rFonts w:asciiTheme="minorHAnsi" w:hAnsiTheme="minorHAnsi" w:eastAsiaTheme="minorEastAsia" w:cstheme="minorBidi"/>
      <w:lang w:val="en-US" w:eastAsia="zh-CN" w:bidi="ar-SA"/>
    </w:rPr>
  </w:style>
  <w:style w:type="table" w:customStyle="1" w:styleId="44">
    <w:name w:val="Table Grid_0"/>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5">
    <w:name w:val="未处理的提及1"/>
    <w:basedOn w:val="24"/>
    <w:semiHidden/>
    <w:unhideWhenUsed/>
    <w:qFormat/>
    <w:uiPriority w:val="99"/>
    <w:rPr>
      <w:color w:val="605E5C"/>
      <w:shd w:val="clear" w:color="auto" w:fill="E1DFDD"/>
    </w:rPr>
  </w:style>
  <w:style w:type="character" w:customStyle="1" w:styleId="46">
    <w:name w:val="正文文本缩进 字符"/>
    <w:basedOn w:val="24"/>
    <w:link w:val="8"/>
    <w:qFormat/>
    <w:uiPriority w:val="0"/>
    <w:rPr>
      <w:kern w:val="2"/>
      <w:sz w:val="24"/>
    </w:rPr>
  </w:style>
  <w:style w:type="character" w:customStyle="1" w:styleId="47">
    <w:name w:val="纯文本 字符"/>
    <w:basedOn w:val="24"/>
    <w:link w:val="10"/>
    <w:qFormat/>
    <w:uiPriority w:val="0"/>
    <w:rPr>
      <w:rFonts w:ascii="宋体" w:hAnsi="Courier New"/>
      <w:kern w:val="2"/>
      <w:sz w:val="21"/>
    </w:rPr>
  </w:style>
  <w:style w:type="character" w:customStyle="1" w:styleId="48">
    <w:name w:val="正文文本缩进 2 字符"/>
    <w:basedOn w:val="24"/>
    <w:link w:val="12"/>
    <w:qFormat/>
    <w:uiPriority w:val="0"/>
    <w:rPr>
      <w:rFonts w:ascii="仿宋_GB2312" w:eastAsia="仿宋_GB2312"/>
      <w:kern w:val="2"/>
      <w:sz w:val="32"/>
      <w:szCs w:val="24"/>
      <w:u w:val="single"/>
    </w:rPr>
  </w:style>
  <w:style w:type="character" w:customStyle="1" w:styleId="49">
    <w:name w:val="正文文本缩进 3 字符"/>
    <w:basedOn w:val="24"/>
    <w:link w:val="17"/>
    <w:qFormat/>
    <w:uiPriority w:val="0"/>
    <w:rPr>
      <w:rFonts w:ascii="仿宋_GB2312" w:eastAsia="仿宋_GB2312"/>
      <w:kern w:val="2"/>
      <w:sz w:val="32"/>
      <w:szCs w:val="24"/>
      <w:u w:val="single"/>
    </w:rPr>
  </w:style>
  <w:style w:type="paragraph" w:customStyle="1" w:styleId="50">
    <w:name w:val="修订1"/>
    <w:hidden/>
    <w:semiHidden/>
    <w:qFormat/>
    <w:uiPriority w:val="99"/>
    <w:rPr>
      <w:rFonts w:eastAsia="宋体" w:asciiTheme="minorHAnsi" w:hAnsiTheme="minorHAnsi" w:cstheme="minorBidi"/>
      <w:kern w:val="2"/>
      <w:sz w:val="24"/>
      <w:szCs w:val="22"/>
      <w:lang w:val="en-US" w:eastAsia="zh-CN" w:bidi="ar-SA"/>
    </w:rPr>
  </w:style>
  <w:style w:type="character" w:customStyle="1" w:styleId="51">
    <w:name w:val="正文文本首行缩进 2 字符"/>
    <w:basedOn w:val="46"/>
    <w:link w:val="21"/>
    <w:qFormat/>
    <w:uiPriority w:val="99"/>
    <w:rPr>
      <w:rFonts w:asciiTheme="minorHAnsi" w:hAnsiTheme="minorHAnsi" w:cstheme="minorBidi"/>
      <w:kern w:val="2"/>
      <w:sz w:val="24"/>
      <w:szCs w:val="22"/>
    </w:rPr>
  </w:style>
  <w:style w:type="character" w:customStyle="1" w:styleId="52">
    <w:name w:val="未处理的提及2"/>
    <w:basedOn w:val="24"/>
    <w:semiHidden/>
    <w:unhideWhenUsed/>
    <w:qFormat/>
    <w:uiPriority w:val="99"/>
    <w:rPr>
      <w:color w:val="605E5C"/>
      <w:shd w:val="clear" w:color="auto" w:fill="E1DFDD"/>
    </w:rPr>
  </w:style>
  <w:style w:type="paragraph" w:customStyle="1" w:styleId="53">
    <w:name w:val="Other|1"/>
    <w:basedOn w:val="1"/>
    <w:qFormat/>
    <w:uiPriority w:val="0"/>
    <w:pPr>
      <w:spacing w:line="338" w:lineRule="exact"/>
    </w:pPr>
    <w:rPr>
      <w:rFonts w:ascii="宋体" w:hAnsi="宋体" w:cs="宋体"/>
      <w:sz w:val="22"/>
      <w:lang w:val="zh-TW" w:eastAsia="zh-TW" w:bidi="zh-TW"/>
    </w:rPr>
  </w:style>
  <w:style w:type="character" w:customStyle="1" w:styleId="54">
    <w:name w:val="未处理的提及3"/>
    <w:basedOn w:val="24"/>
    <w:semiHidden/>
    <w:unhideWhenUsed/>
    <w:qFormat/>
    <w:uiPriority w:val="99"/>
    <w:rPr>
      <w:color w:val="605E5C"/>
      <w:shd w:val="clear" w:color="auto" w:fill="E1DFDD"/>
    </w:rPr>
  </w:style>
  <w:style w:type="paragraph" w:customStyle="1" w:styleId="55">
    <w:name w:val="Table Text"/>
    <w:basedOn w:val="1"/>
    <w:semiHidden/>
    <w:qFormat/>
    <w:uiPriority w:val="0"/>
    <w:rPr>
      <w:rFonts w:ascii="宋体" w:hAnsi="宋体" w:cs="宋体"/>
      <w:sz w:val="21"/>
      <w:szCs w:val="21"/>
      <w:lang w:eastAsia="en-US"/>
    </w:rPr>
  </w:style>
  <w:style w:type="table" w:customStyle="1" w:styleId="56">
    <w:name w:val="Table Normal"/>
    <w:semiHidden/>
    <w:unhideWhenUsed/>
    <w:qFormat/>
    <w:uiPriority w:val="0"/>
    <w:tblPr>
      <w:tblCellMar>
        <w:top w:w="0" w:type="dxa"/>
        <w:left w:w="0" w:type="dxa"/>
        <w:bottom w:w="0" w:type="dxa"/>
        <w:right w:w="0" w:type="dxa"/>
      </w:tblCellMar>
    </w:tblPr>
  </w:style>
  <w:style w:type="character" w:customStyle="1" w:styleId="57">
    <w:name w:val="font21"/>
    <w:basedOn w:val="24"/>
    <w:qFormat/>
    <w:uiPriority w:val="0"/>
    <w:rPr>
      <w:rFonts w:hint="eastAsia" w:ascii="等线" w:hAnsi="等线" w:eastAsia="等线" w:cs="等线"/>
      <w:color w:val="000000"/>
      <w:sz w:val="24"/>
      <w:szCs w:val="24"/>
      <w:u w:val="none"/>
    </w:rPr>
  </w:style>
  <w:style w:type="character" w:customStyle="1" w:styleId="58">
    <w:name w:val="font31"/>
    <w:basedOn w:val="24"/>
    <w:qFormat/>
    <w:uiPriority w:val="0"/>
    <w:rPr>
      <w:rFonts w:hint="eastAsia" w:ascii="等线" w:hAnsi="等线" w:eastAsia="等线" w:cs="等线"/>
      <w:color w:val="000000"/>
      <w:sz w:val="24"/>
      <w:szCs w:val="24"/>
      <w:u w:val="none"/>
    </w:rPr>
  </w:style>
  <w:style w:type="character" w:customStyle="1" w:styleId="59">
    <w:name w:val="Unresolved Mention"/>
    <w:basedOn w:val="24"/>
    <w:semiHidden/>
    <w:unhideWhenUsed/>
    <w:qFormat/>
    <w:uiPriority w:val="99"/>
    <w:rPr>
      <w:color w:val="605E5C"/>
      <w:shd w:val="clear" w:color="auto" w:fill="E1DFDD"/>
    </w:rPr>
  </w:style>
  <w:style w:type="character" w:customStyle="1" w:styleId="60">
    <w:name w:val="dazi"/>
    <w:basedOn w:val="24"/>
    <w:qFormat/>
    <w:uiPriority w:val="0"/>
  </w:style>
  <w:style w:type="character" w:customStyle="1" w:styleId="61">
    <w:name w:val="NormalCharacter"/>
    <w:qFormat/>
    <w:uiPriority w:val="0"/>
  </w:style>
  <w:style w:type="table" w:customStyle="1" w:styleId="62">
    <w:name w:val="网格型1"/>
    <w:basedOn w:val="22"/>
    <w:autoRedefine/>
    <w:qFormat/>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3.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e9fdd81e-7a2f-42d4-a3ae-ff2145cc906b</errorID>
      <errorWord>)</errorWord>
      <group>L1_Format</group>
      <groupName>格式问题</groupName>
      <ability>L2_HalfPunc_CN</ability>
      <abilityName/>
      <candidateList>
        <item>）</item>
      </candidateList>
      <explain>文本全半角错误。</explain>
      <paraID>7B7E2AF4</paraID>
      <start>6</start>
      <end>7</end>
      <status>modified</status>
      <modifiedWord>）</modifiedWord>
      <trackRevisions>false</trackRevisions>
    </reviewItem>
    <reviewItem>
      <errorID>e5bcccca-3f51-4caf-9418-48468184e79a</errorID>
      <errorWord>法制宣传教育</errorWord>
      <group>L1_Political</group>
      <groupName>政治性问题</groupName>
      <ability>L2_Unpolitical</ability>
      <abilityName>政治敏感错误</abilityName>
      <candidateList>
        <item>法治宣传教育</item>
      </candidateList>
      <explain/>
      <paraID>6E1C7824</paraID>
      <start>151</start>
      <end>157</end>
      <status>modified</status>
      <modifiedWord>法治宣传教育</modifiedWord>
      <trackRevisions>false</trackRevisions>
    </reviewItem>
    <reviewItem>
      <errorID>e60e2d46-d08c-42d4-9a6e-6375ecb377cb</errorID>
      <errorWord>;</errorWord>
      <group>L1_Format</group>
      <groupName>格式问题</groupName>
      <ability>L2_HalfPunc_CN</ability>
      <abilityName/>
      <candidateList>
        <item>；</item>
      </candidateList>
      <explain>文本全半角错误。</explain>
      <paraID>6E1C7824</paraID>
      <start>207</start>
      <end>208</end>
      <status>unmodified</status>
      <modifiedWord/>
      <trackRevisions>false</trackRevisions>
    </reviewItem>
    <reviewItem>
      <errorID>11aef6ac-f4d9-449f-88b5-293000a14978</errorID>
      <errorWord>发</errorWord>
      <group>L1_Word</group>
      <groupName>字词问题</groupName>
      <ability>L2_Typo</ability>
      <abilityName>字词错误</abilityName>
      <candidateList>
        <item>发出</item>
      </candidateList>
      <explain>〈动〉❶发生（声音、气味等）：～笑声。❷发布（命令、指示）：～号召｜～通告。❸送出（货物、信件等）；开出（车辆等）。</explain>
      <paraID>6E1C7824</paraID>
      <start>245</start>
      <end>247</end>
      <status>modified</status>
      <modifiedWord>发出</modifiedWord>
      <trackRevisions>false</trackRevisions>
    </reviewItem>
    <reviewItem>
      <errorID>93bcbec0-fcae-4447-a0dd-78cc82a30423</errorID>
      <errorWord>发</errorWord>
      <group>L1_Word</group>
      <groupName>字词问题</groupName>
      <ability>L2_Typo</ability>
      <abilityName>字词错误</abilityName>
      <candidateList>
        <item>发出</item>
      </candidateList>
      <explain>〈动〉❶发生（声音、气味等）：～笑声。❷发布（命令、指示）：～号召｜～通告。❸送出（货物、信件等）；开出（车辆等）。</explain>
      <paraID>5395121C</paraID>
      <start>224</start>
      <end>226</end>
      <status>modified</status>
      <modifiedWord>发出</modifiedWord>
      <trackRevisions>false</trackRevisions>
    </reviewItem>
    <reviewItem>
      <errorID>7d56d1d6-b8c1-404e-a89e-2915bc7baca5</errorID>
      <errorWord>:</errorWord>
      <group>L1_Format</group>
      <groupName>格式问题</groupName>
      <ability>L2_HalfPunc_CN</ability>
      <abilityName/>
      <candidateList>
        <item>：</item>
      </candidateList>
      <explain>文本全半角错误。</explain>
      <paraID>5B37999D</paraID>
      <start>4</start>
      <end>5</end>
      <status>unmodified</status>
      <modifiedWord/>
      <trackRevisions>false</trackRevisions>
    </reviewItem>
    <reviewItem>
      <errorID>2e9bdebb-96e7-4eb1-8879-a85d2b7f48f4</errorID>
      <errorWord>合同法</errorWord>
      <group>L1_Knowledge</group>
      <groupName>知识性问题</groupName>
      <ability>L2_Knowledge</ability>
      <abilityName>其他知识</abilityName>
      <candidateList/>
      <explain>已废止</explain>
      <paraID>346BFD5B</paraID>
      <start>32</start>
      <end>35</end>
      <status>unmodified</status>
      <modifiedWord/>
      <trackRevisions>false</trackRevisions>
    </reviewItem>
    <reviewItem>
      <errorID>cb1b4cd8-71b8-4b0f-9114-2f201e076237</errorID>
      <errorWord>-</errorWord>
      <group>L1_Format</group>
      <groupName>格式问题</groupName>
      <ability>L2_HalfPunc_CN</ability>
      <abilityName/>
      <candidateList>
        <item>－</item>
      </candidateList>
      <explain>文本全半角错误。</explain>
      <paraID>47CB21D9</paraID>
      <start>36</start>
      <end>37</end>
      <status>unmodified</status>
      <modifiedWord/>
      <trackRevisions>false</trackRevisions>
    </reviewItem>
    <reviewItem>
      <errorID>401adab4-4147-4f02-a8ea-73998afd2f8f</errorID>
      <errorWord>和</errorWord>
      <group>L1_Word</group>
      <groupName>字词问题</groupName>
      <ability>L2_Typo</ability>
      <abilityName>字词错误</abilityName>
      <candidateList>
        <item>且未</item>
      </candidateList>
      <explain/>
      <paraID>3B60C15A</paraID>
      <start>38</start>
      <end>40</end>
      <status>modified</status>
      <modifiedWord>且未</modifiedWord>
      <trackRevisions>false</trackRevisions>
    </reviewItem>
    <reviewItem>
      <errorID>d19e1fd0-5e6f-4697-928c-52e021151d3f</errorID>
      <errorWord>：</errorWord>
      <group>L1_Format</group>
      <groupName>格式问题</groupName>
      <ability>L2_HalfPunc_CN</ability>
      <abilityName/>
      <candidateList>
        <item>:</item>
      </candidateList>
      <explain>文本全半角错误。</explain>
      <paraID>3C221C70</paraID>
      <start>24</start>
      <end>25</end>
      <status>unmodified</status>
      <modifiedWord/>
      <trackRevisions>false</trackRevisions>
    </reviewItem>
    <reviewItem>
      <errorID>e3642f34-7443-4b03-b58c-941275c2a273</errorID>
      <errorWord>：</errorWord>
      <group>L1_Word</group>
      <groupName>字词问题</groupName>
      <ability>L2_Typo</ability>
      <abilityName>字词错误</abilityName>
      <candidateList>
        <item>，即</item>
      </candidateList>
      <explain/>
      <paraID>4CD506D3</paraID>
      <start>73</start>
      <end>75</end>
      <status>modified</status>
      <modifiedWord>，即</modifiedWord>
      <trackRevisions>false</trackRevisions>
    </reviewItem>
    <reviewItem>
      <errorID>fbbd8d3f-ca52-42ab-af89-8f64f9aa4fae</errorID>
      <errorWord>合同法</errorWord>
      <group>L1_Knowledge</group>
      <groupName>知识性问题</groupName>
      <ability>L2_Knowledge</ability>
      <abilityName>其他知识</abilityName>
      <candidateList/>
      <explain>已废止</explain>
      <paraID>  C7753C</paraID>
      <start>41</start>
      <end>44</end>
      <status>unmodified</status>
      <modifiedWord/>
      <trackRevisions>false</trackRevisions>
    </reviewItem>
    <reviewItem>
      <errorID>04121c71-6395-427c-ac2f-ebe1d53933c2</errorID>
      <errorWord>期间）（近三年</errorWord>
      <group>L1_Grammar</group>
      <groupName>语法问题</groupName>
      <ability>L2_Grammar</ability>
      <abilityName>语法错误</abilityName>
      <candidateList>
        <item>期间</item>
      </candidateList>
      <explain/>
      <paraID> 809BD19</paraID>
      <start>37</start>
      <end>44</end>
      <status>unmodified</status>
      <modifiedWord/>
      <trackRevisions>false</trackRevisions>
    </reviewItem>
    <reviewItem>
      <errorID>4f23822a-679f-477e-84ec-945320755b6e</errorID>
      <errorWord>期间（近三年）</errorWord>
      <group>L1_Grammar</group>
      <groupName>语法问题</groupName>
      <ability>L2_Grammar</ability>
      <abilityName>语法错误</abilityName>
      <candidateList>
        <item>期间</item>
      </candidateList>
      <explain/>
      <paraID> 809BD19</paraID>
      <start>131</start>
      <end>138</end>
      <status>unmodified</status>
      <modifiedWord/>
      <trackRevisions>false</trackRevisions>
    </reviewItem>
    <reviewItem>
      <errorID>7b2e8a09-18d8-4c3b-84fa-c279fc15d424</errorID>
      <errorWord>期间）（近三年</errorWord>
      <group>L1_Grammar</group>
      <groupName>语法问题</groupName>
      <ability>L2_Grammar</ability>
      <abilityName>语法错误</abilityName>
      <candidateList>
        <item>期间</item>
      </candidateList>
      <explain/>
      <paraID>4BECE5D0</paraID>
      <start>37</start>
      <end>44</end>
      <status>unmodified</status>
      <modifiedWord/>
      <trackRevisions>false</trackRevisions>
    </reviewItem>
    <reviewItem>
      <errorID>6968db23-4748-41e9-91d6-0d689af34bfb</errorID>
      <errorWord>等</errorWord>
      <group>L1_Word</group>
      <groupName>字词问题</groupName>
      <ability>L2_Typo</ability>
      <abilityName>字词错误</abilityName>
      <candidateList>
        <item>等相</item>
      </candidateList>
      <explain/>
      <paraID>4BECE5D0</paraID>
      <start>57</start>
      <end>59</end>
      <status>modified</status>
      <modifiedWord>等相</modifiedWord>
      <trackRevisions>false</trackRevisions>
    </reviewItem>
    <reviewItem>
      <errorID>6afbec5e-a29d-4443-bd80-8777d05a5ee2</errorID>
      <errorWord>关</errorWord>
      <group>L1_Word</group>
      <groupName>字词问题</groupName>
      <ability>L2_Typo</ability>
      <abilityName>字词错误</abilityName>
      <candidateList>
        <item>相关</item>
      </candidateList>
      <explain>〈动〉彼此关连：休戚～｜体育事业和人民健康密切～。</explain>
      <paraID>4BECE5D0</paraID>
      <start>59</start>
      <end>60</end>
      <status>unmodified</status>
      <modifiedWord/>
      <trackRevisions>false</trackRevisions>
    </reviewItem>
    <reviewItem>
      <errorID>ebf4b08c-d923-4a3e-a4fc-2d421bc64429</errorID>
      <errorWord>选</errorWord>
      <group>L1_Word</group>
      <groupName>字词问题</groupName>
      <ability>L2_Typo</ability>
      <abilityName>字词错误</abilityName>
      <candidateList>
        <item>选择</item>
      </candidateList>
      <explain>〈动〉挑选：～对象｜～地点。</explain>
      <paraID>67A0EAF6</paraID>
      <start>25</start>
      <end>26</end>
      <status>unmodified</status>
      <modifiedWord/>
      <trackRevisions>false</trackRevisions>
    </reviewItem>
    <reviewItem>
      <errorID>93c7c23d-fc21-4e3d-9947-c6cab0205349</errorID>
      <errorWord>不良</errorWord>
      <group>L1_Word</group>
      <groupName>字词问题</groupName>
      <ability>L2_Typo</ability>
      <abilityName>字词错误</abilityName>
      <candidateList>
        <item>有不良</item>
      </candidateList>
      <explain/>
      <paraID>6A8089AE</paraID>
      <start>35</start>
      <end>38</end>
      <status>modified</status>
      <modifiedWord>有不良</modifiedWord>
      <trackRevisions>false</trackRevisions>
    </reviewItem>
    <reviewItem>
      <errorID>98147039-468a-41a3-af09-db9200035b24</errorID>
      <errorWord>。</errorWord>
      <group>L1_Grammar</group>
      <groupName>语法问题</groupName>
      <ability>L2_Grammar</ability>
      <abilityName>语法错误</abilityName>
      <candidateList>
        <item>情况。</item>
      </candidateList>
      <explain/>
      <paraID>1680C709</paraID>
      <start>17</start>
      <end>18</end>
      <status>unmodified</status>
      <modifiedWord/>
      <trackRevisions>false</trackRevisions>
    </reviewItem>
    <reviewItem>
      <errorID>45fe3f98-9cb7-4843-a554-a66f831a504a</errorID>
      <errorWord>：</errorWord>
      <group>L1_Format</group>
      <groupName>格式问题</groupName>
      <ability>L2_HalfPunc_CN</ability>
      <abilityName/>
      <candidateList>
        <item>:</item>
      </candidateList>
      <explain>文本全半角错误。</explain>
      <paraID>278849F2</paraID>
      <start>50</start>
      <end>51</end>
      <status>unmodified</status>
      <modifiedWord/>
      <trackRevisions>false</trackRevisions>
    </reviewItem>
    <reviewItem>
      <errorID>9f625b06-303c-478e-9c8e-32229ffe9f83</errorID>
      <errorWord>次日进行</errorWord>
      <group>L1_Grammar</group>
      <groupName>语法问题</groupName>
      <ability>L2_Grammar</ability>
      <abilityName>语法错误</abilityName>
      <candidateList>
        <item>次日</item>
      </candidateList>
      <explain/>
      <paraID>2909A68D</paraID>
      <start>40</start>
      <end>44</end>
      <status>unmodified</status>
      <modifiedWord/>
      <trackRevisions>false</trackRevisions>
    </reviewItem>
    <reviewItem>
      <errorID>73db3103-de49-4bf3-9343-bb8a3735488d</errorID>
      <errorWord>单独</errorWord>
      <group>L1_Grammar</group>
      <groupName>语法问题</groupName>
      <ability>L2_Grammar</ability>
      <abilityName>语法错误</abilityName>
      <candidateList>
        <item>该家公司</item>
      </candidateList>
      <explain/>
      <paraID>57327131</paraID>
      <start>21</start>
      <end>23</end>
      <status>unmodified</status>
      <modifiedWord/>
      <trackRevisions>false</trackRevisions>
    </reviewItem>
    <reviewItem>
      <errorID>521a1513-966c-4924-b3bb-d8dbff6357ba</errorID>
      <errorWord>制订</errorWord>
      <group>L1_Word</group>
      <groupName>字词问题</groupName>
      <ability>L2_Typo</ability>
      <abilityName>字词错误</abilityName>
      <candidateList>
        <item>制定</item>
      </candidateList>
      <explain>〈动〉定出（法律、规程、政策等）：～宪法｜～学会章程。</explain>
      <paraID>68F126AF</paraID>
      <start>11</start>
      <end>13</end>
      <status>unmodified</status>
      <modifiedWord/>
      <trackRevisions>false</trackRevisions>
    </reviewItem>
    <reviewItem>
      <errorID>eff4e2d5-0d20-4528-b59f-3f459ee01f13</errorID>
      <errorWord>和以及</errorWord>
      <group>L1_Word</group>
      <groupName>字词问题</groupName>
      <ability>L2_Typo</ability>
      <abilityName>字词错误</abilityName>
      <candidateList>
        <item>以及</item>
      </candidateList>
      <explain>〈连〉连接并列的词或词组（“以及”前面往往是主要的）：院子里种着大丽花、矢车菊、夹竹桃～其他的花木。</explain>
      <paraID>1B734CA1</paraID>
      <start>27</start>
      <end>30</end>
      <status>unmodified</status>
      <modifiedWord/>
      <trackRevisions>false</trackRevisions>
    </reviewItem>
    <reviewItem>
      <errorID>d5bdd371-6470-4724-afa3-851041a96f38</errorID>
      <errorWord>文件的</errorWord>
      <group>L1_Word</group>
      <groupName>字词问题</groupName>
      <ability>L2_Typo</ability>
      <abilityName>字词错误</abilityName>
      <candidateList>
        <item>文件</item>
      </candidateList>
      <explain/>
      <paraID>4A439C98</paraID>
      <start>36</start>
      <end>38</end>
      <status>modified</status>
      <modifiedWord>文件</modifiedWord>
      <trackRevisions>false</trackRevisions>
    </reviewItem>
    <reviewItem>
      <errorID>1f0c76da-41b5-40f1-9882-449fa0284ccf</errorID>
      <errorWord>。并</errorWord>
      <group>L1_Word</group>
      <groupName>字词问题</groupName>
      <ability>L2_Typo</ability>
      <abilityName>字词错误</abilityName>
      <candidateList>
        <item>，</item>
      </candidateList>
      <explain/>
      <paraID>56FF792A</paraID>
      <start>32</start>
      <end>34</end>
      <status>unmodified</status>
      <modifiedWord/>
      <trackRevisions>false</trackRevisions>
    </reviewItem>
    <reviewItem>
      <errorID>09b3e3b0-9ea4-467a-8467-bbe5494408d4</errorID>
      <errorWord>(</errorWord>
      <group>L1_Format</group>
      <groupName>格式问题</groupName>
      <ability>L2_HalfPunc_CN</ability>
      <abilityName/>
      <candidateList>
        <item>（</item>
      </candidateList>
      <explain>文本全半角错误。</explain>
      <paraID>7727A373</paraID>
      <start>5</start>
      <end>6</end>
      <status>unmodified</status>
      <modifiedWord/>
      <trackRevisions>false</trackRevisions>
    </reviewItem>
    <reviewItem>
      <errorID>16549dfe-a197-4351-a6cd-460009fdaca5</errorID>
      <errorWord>)</errorWord>
      <group>L1_Format</group>
      <groupName>格式问题</groupName>
      <ability>L2_HalfPunc_CN</ability>
      <abilityName/>
      <candidateList>
        <item>）</item>
      </candidateList>
      <explain>文本全半角错误。</explain>
      <paraID>7727A373</paraID>
      <start>8</start>
      <end>9</end>
      <status>unmodified</status>
      <modifiedWord/>
      <trackRevisions>false</trackRevisions>
    </reviewItem>
    <reviewItem>
      <errorID>2cf0fd4f-597e-47a1-b43e-de9cce897adf</errorID>
      <errorWord>(</errorWord>
      <group>L1_Format</group>
      <groupName>格式问题</groupName>
      <ability>L2_HalfPunc_CN</ability>
      <abilityName/>
      <candidateList>
        <item>（</item>
      </candidateList>
      <explain>文本全半角错误。</explain>
      <paraID>1879C0AE</paraID>
      <start>4</start>
      <end>5</end>
      <status>unmodified</status>
      <modifiedWord/>
      <trackRevisions>false</trackRevisions>
    </reviewItem>
    <reviewItem>
      <errorID>3a31890f-5f15-4318-88b7-25a5f4858338</errorID>
      <errorWord>)</errorWord>
      <group>L1_Format</group>
      <groupName>格式问题</groupName>
      <ability>L2_HalfPunc_CN</ability>
      <abilityName/>
      <candidateList>
        <item>）</item>
      </candidateList>
      <explain>文本全半角错误。</explain>
      <paraID>1879C0AE</paraID>
      <start>7</start>
      <end>8</end>
      <status>unmodified</status>
      <modifiedWord/>
      <trackRevisions>false</trackRevisions>
    </reviewItem>
    <reviewItem>
      <errorID>3b9ef50b-a889-4d7d-be69-83e78b93d7d4</errorID>
      <errorWord>(</errorWord>
      <group>L1_Format</group>
      <groupName>格式问题</groupName>
      <ability>L2_HalfPunc_CN</ability>
      <abilityName/>
      <candidateList>
        <item>（</item>
      </candidateList>
      <explain>文本全半角错误。</explain>
      <paraID>2EAD729A</paraID>
      <start>3</start>
      <end>4</end>
      <status>unmodified</status>
      <modifiedWord/>
      <trackRevisions>false</trackRevisions>
    </reviewItem>
    <reviewItem>
      <errorID>7837e384-7171-4cba-99d2-b7a1f2897eb9</errorID>
      <errorWord>)</errorWord>
      <group>L1_Format</group>
      <groupName>格式问题</groupName>
      <ability>L2_HalfPunc_CN</ability>
      <abilityName/>
      <candidateList>
        <item>）</item>
      </candidateList>
      <explain>文本全半角错误。</explain>
      <paraID>2EAD729A</paraID>
      <start>6</start>
      <end>7</end>
      <status>unmodified</status>
      <modifiedWord/>
      <trackRevisions>false</trackRevisions>
    </reviewItem>
    <reviewItem>
      <errorID>62cd7aea-c817-4ee9-a9cd-445422fff002</errorID>
      <errorWord>(</errorWord>
      <group>L1_Format</group>
      <groupName>格式问题</groupName>
      <ability>L2_HalfPunc_CN</ability>
      <abilityName/>
      <candidateList>
        <item>（</item>
      </candidateList>
      <explain>文本全半角错误。</explain>
      <paraID>7C33E6F7</paraID>
      <start>5</start>
      <end>6</end>
      <status>unmodified</status>
      <modifiedWord/>
      <trackRevisions>false</trackRevisions>
    </reviewItem>
    <reviewItem>
      <errorID>7cbe7580-e9d7-4e5d-9bd9-550e22936e0e</errorID>
      <errorWord>)</errorWord>
      <group>L1_Format</group>
      <groupName>格式问题</groupName>
      <ability>L2_HalfPunc_CN</ability>
      <abilityName/>
      <candidateList>
        <item>）</item>
      </candidateList>
      <explain>文本全半角错误。</explain>
      <paraID>7C33E6F7</paraID>
      <start>8</start>
      <end>9</end>
      <status>unmodified</status>
      <modifiedWord/>
      <trackRevisions>false</trackRevisions>
    </reviewItem>
    <reviewItem>
      <errorID>9e64f91f-13e2-4879-994b-a5bb7f2759bb</errorID>
      <errorWord>(</errorWord>
      <group>L1_Format</group>
      <groupName>格式问题</groupName>
      <ability>L2_HalfPunc_CN</ability>
      <abilityName/>
      <candidateList>
        <item>（</item>
      </candidateList>
      <explain>文本全半角错误。</explain>
      <paraID>281DFC82</paraID>
      <start>3</start>
      <end>4</end>
      <status>unmodified</status>
      <modifiedWord/>
      <trackRevisions>false</trackRevisions>
    </reviewItem>
    <reviewItem>
      <errorID>47de74ba-5621-44e3-abd3-a4cfbdf4287c</errorID>
      <errorWord>)</errorWord>
      <group>L1_Format</group>
      <groupName>格式问题</groupName>
      <ability>L2_HalfPunc_CN</ability>
      <abilityName/>
      <candidateList>
        <item>）</item>
      </candidateList>
      <explain>文本全半角错误。</explain>
      <paraID>281DFC82</paraID>
      <start>6</start>
      <end>7</end>
      <status>unmodified</status>
      <modifiedWord/>
      <trackRevisions>false</trackRevisions>
    </reviewItem>
    <reviewItem>
      <errorID>95a4426d-d83b-434f-833f-e790039e1e11</errorID>
      <errorWord>股东大会</errorWord>
      <group>L1_Word</group>
      <groupName>字词问题</groupName>
      <ability>L2_Typo</ability>
      <abilityName>字词错误</abilityName>
      <candidateList>
        <item>股东会</item>
      </candidateList>
      <explain/>
      <paraID>797EF283</paraID>
      <start>98</start>
      <end>102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DD8A84-69DA-400B-B142-DF8AC46CBEE4}">
  <ds:schemaRefs/>
</ds:datastoreItem>
</file>

<file path=customXml/itemProps3.xml><?xml version="1.0" encoding="utf-8"?>
<ds:datastoreItem xmlns:ds="http://schemas.openxmlformats.org/officeDocument/2006/customXml" ds:itemID="{cb0d06ab-ce35-4769-8d42-02bb9f9b5940}">
  <ds:schemaRefs/>
</ds:datastoreItem>
</file>

<file path=docProps/app.xml><?xml version="1.0" encoding="utf-8"?>
<Properties xmlns="http://schemas.openxmlformats.org/officeDocument/2006/extended-properties" xmlns:vt="http://schemas.openxmlformats.org/officeDocument/2006/docPropsVTypes">
  <Template>Normal</Template>
  <Pages>30</Pages>
  <Words>7647</Words>
  <Characters>7855</Characters>
  <Lines>92</Lines>
  <Paragraphs>26</Paragraphs>
  <TotalTime>8</TotalTime>
  <ScaleCrop>false</ScaleCrop>
  <LinksUpToDate>false</LinksUpToDate>
  <CharactersWithSpaces>7899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2025-03-11T03:10:00Z</dcterms:created>
  <dc:creator>谢剑英</dc:creator>
  <cp:lastModifiedBy>米白</cp:lastModifiedBy>
  <cp:lastPrinted>2026-05-18T05:27:00Z</cp:lastPrinted>
  <dcterms:modified xsi:type="dcterms:W3CDTF">2026-05-19T12:23:20Z</dcterms:modified>
  <cp:revision>576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88EBEC9A54574FF39865BDBB8A25CDF9_13</vt:lpwstr>
  </property>
  <property fmtid="{D5CDD505-2E9C-101B-9397-08002B2CF9AE}" pid="4" name="KSOTemplateDocerSaveRecord">
    <vt:lpwstr>eyJoZGlkIjoiZGIwZWQ5Zjg3ZDc5MTIzZDFjZjdhMDNhMTViZTU0MjkiLCJ1c2VySWQiOiIyOTk2OTU2MDYifQ==</vt:lpwstr>
  </property>
</Properties>
</file>