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6D96">
      <w:pPr>
        <w:jc w:val="both"/>
        <w:rPr>
          <w:rFonts w:hint="eastAsia" w:ascii="方正小标宋简体" w:hAnsi="宋体" w:eastAsia="方正小标宋简体"/>
          <w:color w:val="auto"/>
          <w:sz w:val="52"/>
          <w:szCs w:val="52"/>
          <w:lang w:eastAsia="zh-CN"/>
        </w:rPr>
      </w:pPr>
    </w:p>
    <w:p w14:paraId="2CFA9621">
      <w:pPr>
        <w:jc w:val="both"/>
        <w:rPr>
          <w:rFonts w:hint="eastAsia" w:ascii="方正小标宋简体" w:hAnsi="宋体" w:eastAsia="方正小标宋简体"/>
          <w:color w:val="auto"/>
          <w:sz w:val="52"/>
          <w:szCs w:val="52"/>
          <w:lang w:eastAsia="zh-CN"/>
        </w:rPr>
      </w:pPr>
    </w:p>
    <w:p w14:paraId="787F73A0">
      <w:pPr>
        <w:jc w:val="center"/>
        <w:rPr>
          <w:rFonts w:ascii="方正小标宋简体" w:hAnsi="宋体" w:eastAsia="方正小标宋简体"/>
          <w:color w:val="auto"/>
          <w:sz w:val="84"/>
          <w:szCs w:val="84"/>
        </w:rPr>
      </w:pPr>
      <w:r>
        <w:rPr>
          <w:rFonts w:hint="eastAsia" w:ascii="方正小标宋简体" w:hAnsi="宋体" w:eastAsia="方正小标宋简体"/>
          <w:color w:val="auto"/>
          <w:sz w:val="84"/>
          <w:szCs w:val="84"/>
        </w:rPr>
        <w:t>采购文件</w:t>
      </w:r>
    </w:p>
    <w:p w14:paraId="6A87FE54">
      <w:pPr>
        <w:jc w:val="center"/>
        <w:rPr>
          <w:rFonts w:ascii="方正小标宋简体" w:hAnsi="宋体" w:eastAsia="方正小标宋简体"/>
          <w:color w:val="auto"/>
          <w:sz w:val="44"/>
          <w:szCs w:val="44"/>
        </w:rPr>
      </w:pPr>
    </w:p>
    <w:p w14:paraId="315A4A18">
      <w:pPr>
        <w:jc w:val="center"/>
        <w:rPr>
          <w:rFonts w:ascii="方正小标宋简体" w:hAnsi="宋体" w:eastAsia="方正小标宋简体"/>
          <w:color w:val="auto"/>
          <w:sz w:val="44"/>
          <w:szCs w:val="44"/>
        </w:rPr>
      </w:pPr>
    </w:p>
    <w:p w14:paraId="7F0C6970">
      <w:pPr>
        <w:jc w:val="center"/>
        <w:rPr>
          <w:rFonts w:ascii="方正小标宋简体" w:hAnsi="宋体" w:eastAsia="方正小标宋简体"/>
          <w:color w:val="auto"/>
          <w:sz w:val="44"/>
          <w:szCs w:val="44"/>
        </w:rPr>
      </w:pPr>
    </w:p>
    <w:p w14:paraId="7714B2A4">
      <w:pPr>
        <w:spacing w:line="480" w:lineRule="auto"/>
        <w:jc w:val="left"/>
        <w:rPr>
          <w:rFonts w:ascii="宋体" w:hAnsi="宋体" w:eastAsia="宋体"/>
          <w:color w:val="auto"/>
          <w:sz w:val="30"/>
          <w:szCs w:val="30"/>
        </w:rPr>
      </w:pPr>
      <w:r>
        <w:rPr>
          <w:rFonts w:hint="eastAsia" w:ascii="宋体" w:hAnsi="宋体" w:eastAsia="宋体"/>
          <w:b/>
          <w:bCs/>
          <w:color w:val="auto"/>
          <w:sz w:val="30"/>
          <w:szCs w:val="30"/>
        </w:rPr>
        <w:t>项目名称：</w:t>
      </w:r>
      <w:r>
        <w:rPr>
          <w:rFonts w:hint="eastAsia" w:ascii="宋体" w:hAnsi="宋体" w:eastAsia="宋体"/>
          <w:b/>
          <w:bCs/>
          <w:color w:val="auto"/>
          <w:sz w:val="30"/>
          <w:szCs w:val="30"/>
          <w:u w:val="single"/>
          <w:lang w:val="en-US" w:eastAsia="zh-CN"/>
        </w:rPr>
        <w:t xml:space="preserve"> </w:t>
      </w:r>
      <w:r>
        <w:rPr>
          <w:rFonts w:hint="eastAsia" w:ascii="宋体" w:hAnsi="宋体" w:eastAsia="宋体"/>
          <w:b w:val="0"/>
          <w:bCs w:val="0"/>
          <w:color w:val="auto"/>
          <w:sz w:val="30"/>
          <w:szCs w:val="30"/>
          <w:u w:val="single"/>
          <w:lang w:val="en-US" w:eastAsia="zh-CN"/>
        </w:rPr>
        <w:t>2025年全国新书首发中心活动中介机构咨询服务及媒体宣传服务</w:t>
      </w:r>
      <w:r>
        <w:rPr>
          <w:rFonts w:hint="eastAsia" w:ascii="宋体" w:hAnsi="宋体" w:eastAsia="宋体"/>
          <w:color w:val="auto"/>
          <w:sz w:val="30"/>
          <w:szCs w:val="30"/>
          <w:u w:val="single"/>
          <w:lang w:val="en-US" w:eastAsia="zh-CN"/>
        </w:rPr>
        <w:t xml:space="preserve">项目                                       </w:t>
      </w:r>
      <w:r>
        <w:rPr>
          <w:rFonts w:hint="eastAsia" w:ascii="宋体" w:hAnsi="宋体" w:eastAsia="宋体"/>
          <w:color w:val="auto"/>
          <w:sz w:val="30"/>
          <w:szCs w:val="30"/>
          <w:u w:val="single"/>
        </w:rPr>
        <w:t xml:space="preserve"> </w:t>
      </w:r>
    </w:p>
    <w:p w14:paraId="70162893">
      <w:pPr>
        <w:spacing w:line="480" w:lineRule="auto"/>
        <w:jc w:val="both"/>
        <w:rPr>
          <w:rFonts w:ascii="宋体" w:hAnsi="宋体" w:eastAsia="宋体"/>
          <w:color w:val="auto"/>
          <w:sz w:val="30"/>
          <w:szCs w:val="30"/>
        </w:rPr>
      </w:pPr>
      <w:r>
        <w:rPr>
          <w:rFonts w:hint="eastAsia" w:ascii="宋体" w:hAnsi="宋体" w:eastAsia="宋体"/>
          <w:b/>
          <w:bCs/>
          <w:color w:val="auto"/>
          <w:spacing w:val="75"/>
          <w:kern w:val="0"/>
          <w:sz w:val="30"/>
          <w:szCs w:val="30"/>
          <w:fitText w:val="1200" w:id="-990575613"/>
        </w:rPr>
        <w:t>采购</w:t>
      </w:r>
      <w:r>
        <w:rPr>
          <w:rFonts w:hint="eastAsia" w:ascii="宋体" w:hAnsi="宋体" w:eastAsia="宋体"/>
          <w:b/>
          <w:bCs/>
          <w:color w:val="auto"/>
          <w:spacing w:val="0"/>
          <w:kern w:val="0"/>
          <w:sz w:val="30"/>
          <w:szCs w:val="30"/>
          <w:fitText w:val="1200" w:id="-990575613"/>
        </w:rPr>
        <w:t>人</w:t>
      </w:r>
      <w:r>
        <w:rPr>
          <w:rFonts w:hint="eastAsia" w:ascii="宋体" w:hAnsi="宋体" w:eastAsia="宋体"/>
          <w:b/>
          <w:bCs/>
          <w:color w:val="auto"/>
          <w:sz w:val="30"/>
          <w:szCs w:val="30"/>
        </w:rPr>
        <w:t>：</w:t>
      </w:r>
      <w:r>
        <w:rPr>
          <w:rFonts w:hint="eastAsia" w:ascii="宋体" w:hAnsi="宋体" w:eastAsia="宋体"/>
          <w:color w:val="auto"/>
          <w:sz w:val="30"/>
          <w:szCs w:val="30"/>
          <w:u w:val="single"/>
        </w:rPr>
        <w:t xml:space="preserve">   </w:t>
      </w:r>
      <w:r>
        <w:rPr>
          <w:rFonts w:hint="eastAsia" w:ascii="宋体" w:hAnsi="宋体" w:eastAsia="宋体"/>
          <w:color w:val="auto"/>
          <w:sz w:val="30"/>
          <w:szCs w:val="30"/>
          <w:u w:val="single"/>
          <w:lang w:val="en-US" w:eastAsia="zh-CN"/>
        </w:rPr>
        <w:t xml:space="preserve">    </w:t>
      </w:r>
      <w:r>
        <w:rPr>
          <w:rFonts w:hint="eastAsia" w:ascii="宋体" w:hAnsi="宋体" w:eastAsia="宋体"/>
          <w:color w:val="auto"/>
          <w:sz w:val="30"/>
          <w:szCs w:val="30"/>
          <w:u w:val="single"/>
        </w:rPr>
        <w:t>深圳书城</w:t>
      </w:r>
      <w:r>
        <w:rPr>
          <w:rFonts w:hint="eastAsia" w:ascii="宋体" w:hAnsi="宋体" w:eastAsia="宋体"/>
          <w:color w:val="auto"/>
          <w:sz w:val="30"/>
          <w:szCs w:val="30"/>
          <w:u w:val="single"/>
          <w:lang w:val="en-US" w:eastAsia="zh-CN"/>
        </w:rPr>
        <w:t>文化（集团）</w:t>
      </w:r>
      <w:r>
        <w:rPr>
          <w:rFonts w:hint="eastAsia" w:ascii="宋体" w:hAnsi="宋体" w:eastAsia="宋体"/>
          <w:color w:val="auto"/>
          <w:sz w:val="30"/>
          <w:szCs w:val="30"/>
          <w:u w:val="single"/>
        </w:rPr>
        <w:t xml:space="preserve">有限公司      </w:t>
      </w:r>
      <w:r>
        <w:rPr>
          <w:rFonts w:hint="eastAsia" w:ascii="宋体" w:hAnsi="宋体" w:eastAsia="宋体"/>
          <w:color w:val="auto"/>
          <w:sz w:val="30"/>
          <w:szCs w:val="30"/>
          <w:u w:val="single"/>
          <w:lang w:val="en-US" w:eastAsia="zh-CN"/>
        </w:rPr>
        <w:t xml:space="preserve"> </w:t>
      </w:r>
      <w:r>
        <w:rPr>
          <w:rFonts w:hint="eastAsia" w:ascii="宋体" w:hAnsi="宋体" w:eastAsia="宋体"/>
          <w:color w:val="auto"/>
          <w:sz w:val="30"/>
          <w:szCs w:val="30"/>
          <w:u w:val="single"/>
        </w:rPr>
        <w:t xml:space="preserve">  </w:t>
      </w:r>
      <w:r>
        <w:rPr>
          <w:rFonts w:ascii="宋体" w:hAnsi="宋体" w:eastAsia="宋体"/>
          <w:color w:val="auto"/>
          <w:sz w:val="30"/>
          <w:szCs w:val="30"/>
          <w:u w:val="single"/>
        </w:rPr>
        <w:t xml:space="preserve"> </w:t>
      </w:r>
    </w:p>
    <w:p w14:paraId="1D1F77EE">
      <w:pPr>
        <w:spacing w:line="480" w:lineRule="auto"/>
        <w:rPr>
          <w:rFonts w:ascii="宋体" w:hAnsi="宋体" w:eastAsia="宋体"/>
          <w:color w:val="auto"/>
          <w:sz w:val="30"/>
          <w:szCs w:val="30"/>
        </w:rPr>
      </w:pPr>
      <w:r>
        <w:rPr>
          <w:rFonts w:hint="eastAsia" w:ascii="宋体" w:hAnsi="宋体" w:eastAsia="宋体"/>
          <w:b/>
          <w:bCs/>
          <w:color w:val="auto"/>
          <w:spacing w:val="300"/>
          <w:kern w:val="0"/>
          <w:sz w:val="30"/>
          <w:szCs w:val="30"/>
          <w:fitText w:val="1200" w:id="-990575612"/>
        </w:rPr>
        <w:t>地</w:t>
      </w:r>
      <w:r>
        <w:rPr>
          <w:rFonts w:hint="eastAsia" w:ascii="宋体" w:hAnsi="宋体" w:eastAsia="宋体"/>
          <w:b/>
          <w:bCs/>
          <w:color w:val="auto"/>
          <w:spacing w:val="0"/>
          <w:kern w:val="0"/>
          <w:sz w:val="30"/>
          <w:szCs w:val="30"/>
          <w:fitText w:val="1200" w:id="-990575612"/>
        </w:rPr>
        <w:t>址</w:t>
      </w:r>
      <w:r>
        <w:rPr>
          <w:rFonts w:hint="eastAsia" w:ascii="宋体" w:hAnsi="宋体" w:eastAsia="宋体"/>
          <w:b/>
          <w:bCs/>
          <w:color w:val="auto"/>
          <w:sz w:val="30"/>
          <w:szCs w:val="30"/>
        </w:rPr>
        <w:t>：</w:t>
      </w:r>
      <w:r>
        <w:rPr>
          <w:rFonts w:hint="eastAsia" w:ascii="宋体" w:hAnsi="宋体" w:eastAsia="宋体"/>
          <w:color w:val="auto"/>
          <w:sz w:val="30"/>
          <w:szCs w:val="30"/>
          <w:u w:val="single"/>
        </w:rPr>
        <w:t xml:space="preserve">   深圳市福田区皇岗路深业上城B座2801号 </w:t>
      </w:r>
      <w:r>
        <w:rPr>
          <w:rFonts w:hint="eastAsia" w:ascii="宋体" w:hAnsi="宋体" w:eastAsia="宋体"/>
          <w:color w:val="auto"/>
          <w:sz w:val="30"/>
          <w:szCs w:val="30"/>
          <w:u w:val="single"/>
          <w:lang w:val="en-US" w:eastAsia="zh-CN"/>
        </w:rPr>
        <w:t xml:space="preserve"> </w:t>
      </w:r>
      <w:r>
        <w:rPr>
          <w:rFonts w:hint="eastAsia" w:ascii="宋体" w:hAnsi="宋体" w:eastAsia="宋体"/>
          <w:color w:val="auto"/>
          <w:sz w:val="30"/>
          <w:szCs w:val="30"/>
          <w:u w:val="single"/>
        </w:rPr>
        <w:t xml:space="preserve">  </w:t>
      </w:r>
      <w:r>
        <w:rPr>
          <w:rFonts w:ascii="宋体" w:hAnsi="宋体" w:eastAsia="宋体"/>
          <w:color w:val="auto"/>
          <w:sz w:val="30"/>
          <w:szCs w:val="30"/>
          <w:u w:val="single"/>
        </w:rPr>
        <w:t xml:space="preserve"> </w:t>
      </w:r>
    </w:p>
    <w:p w14:paraId="5B48A7EC">
      <w:pPr>
        <w:spacing w:line="480" w:lineRule="auto"/>
        <w:rPr>
          <w:rFonts w:ascii="宋体" w:hAnsi="宋体" w:eastAsia="宋体"/>
          <w:color w:val="auto"/>
          <w:sz w:val="30"/>
          <w:szCs w:val="30"/>
          <w:u w:val="single"/>
        </w:rPr>
      </w:pPr>
      <w:r>
        <w:rPr>
          <w:rFonts w:hint="eastAsia" w:ascii="宋体" w:hAnsi="宋体" w:eastAsia="宋体"/>
          <w:b/>
          <w:bCs/>
          <w:color w:val="auto"/>
          <w:spacing w:val="75"/>
          <w:kern w:val="0"/>
          <w:sz w:val="30"/>
          <w:szCs w:val="30"/>
          <w:fitText w:val="1200" w:id="-990575611"/>
        </w:rPr>
        <w:t>联系</w:t>
      </w:r>
      <w:r>
        <w:rPr>
          <w:rFonts w:hint="eastAsia" w:ascii="宋体" w:hAnsi="宋体" w:eastAsia="宋体"/>
          <w:b/>
          <w:bCs/>
          <w:color w:val="auto"/>
          <w:spacing w:val="0"/>
          <w:kern w:val="0"/>
          <w:sz w:val="30"/>
          <w:szCs w:val="30"/>
          <w:fitText w:val="1200" w:id="-990575611"/>
        </w:rPr>
        <w:t>人</w:t>
      </w:r>
      <w:r>
        <w:rPr>
          <w:rFonts w:hint="eastAsia" w:ascii="宋体" w:hAnsi="宋体" w:eastAsia="宋体"/>
          <w:b/>
          <w:bCs/>
          <w:color w:val="auto"/>
          <w:sz w:val="30"/>
          <w:szCs w:val="30"/>
        </w:rPr>
        <w:t>：</w:t>
      </w:r>
      <w:r>
        <w:rPr>
          <w:rFonts w:hint="eastAsia" w:ascii="宋体" w:hAnsi="宋体" w:eastAsia="宋体"/>
          <w:color w:val="auto"/>
          <w:sz w:val="30"/>
          <w:szCs w:val="30"/>
          <w:u w:val="single"/>
        </w:rPr>
        <w:t xml:space="preserve">                 肖</w:t>
      </w:r>
      <w:r>
        <w:rPr>
          <w:rFonts w:hint="eastAsia" w:ascii="宋体" w:hAnsi="宋体" w:eastAsia="宋体"/>
          <w:color w:val="auto"/>
          <w:sz w:val="30"/>
          <w:szCs w:val="30"/>
          <w:u w:val="single"/>
          <w:lang w:val="en-US" w:eastAsia="zh-CN"/>
        </w:rPr>
        <w:t>先生</w:t>
      </w:r>
      <w:r>
        <w:rPr>
          <w:rFonts w:hint="eastAsia" w:ascii="宋体" w:hAnsi="宋体" w:eastAsia="宋体"/>
          <w:color w:val="auto"/>
          <w:sz w:val="30"/>
          <w:szCs w:val="30"/>
          <w:u w:val="single"/>
        </w:rPr>
        <w:t xml:space="preserve">                    </w:t>
      </w:r>
      <w:r>
        <w:rPr>
          <w:rFonts w:hint="eastAsia" w:ascii="宋体" w:hAnsi="宋体" w:eastAsia="宋体"/>
          <w:color w:val="auto"/>
          <w:sz w:val="30"/>
          <w:szCs w:val="30"/>
          <w:u w:val="single"/>
          <w:lang w:val="en-US" w:eastAsia="zh-CN"/>
        </w:rPr>
        <w:t xml:space="preserve"> </w:t>
      </w:r>
      <w:r>
        <w:rPr>
          <w:rFonts w:hint="eastAsia" w:ascii="宋体" w:hAnsi="宋体" w:eastAsia="宋体"/>
          <w:color w:val="auto"/>
          <w:sz w:val="30"/>
          <w:szCs w:val="30"/>
          <w:u w:val="single"/>
        </w:rPr>
        <w:t xml:space="preserve">  </w:t>
      </w:r>
      <w:r>
        <w:rPr>
          <w:rFonts w:ascii="宋体" w:hAnsi="宋体" w:eastAsia="宋体"/>
          <w:color w:val="auto"/>
          <w:sz w:val="30"/>
          <w:szCs w:val="30"/>
          <w:u w:val="single"/>
        </w:rPr>
        <w:t xml:space="preserve"> </w:t>
      </w:r>
    </w:p>
    <w:p w14:paraId="0D5EE6FF">
      <w:pPr>
        <w:spacing w:line="480" w:lineRule="auto"/>
        <w:rPr>
          <w:rFonts w:ascii="宋体" w:hAnsi="宋体" w:eastAsia="宋体"/>
          <w:color w:val="auto"/>
          <w:sz w:val="30"/>
          <w:szCs w:val="30"/>
        </w:rPr>
      </w:pPr>
      <w:r>
        <w:rPr>
          <w:rFonts w:hint="eastAsia" w:ascii="宋体" w:hAnsi="宋体" w:eastAsia="宋体"/>
          <w:b/>
          <w:bCs/>
          <w:color w:val="auto"/>
          <w:sz w:val="30"/>
          <w:szCs w:val="30"/>
        </w:rPr>
        <w:t>联系电话：</w:t>
      </w:r>
      <w:r>
        <w:rPr>
          <w:rFonts w:hint="eastAsia" w:ascii="宋体" w:hAnsi="宋体" w:eastAsia="宋体"/>
          <w:color w:val="auto"/>
          <w:sz w:val="30"/>
          <w:szCs w:val="30"/>
          <w:u w:val="single"/>
        </w:rPr>
        <w:t xml:space="preserve">              13600147474               </w:t>
      </w:r>
      <w:r>
        <w:rPr>
          <w:rFonts w:hint="eastAsia" w:ascii="宋体" w:hAnsi="宋体" w:eastAsia="宋体"/>
          <w:color w:val="auto"/>
          <w:sz w:val="30"/>
          <w:szCs w:val="30"/>
          <w:u w:val="single"/>
          <w:lang w:val="en-US" w:eastAsia="zh-CN"/>
        </w:rPr>
        <w:t xml:space="preserve"> </w:t>
      </w:r>
      <w:r>
        <w:rPr>
          <w:rFonts w:hint="eastAsia" w:ascii="宋体" w:hAnsi="宋体" w:eastAsia="宋体"/>
          <w:color w:val="auto"/>
          <w:sz w:val="30"/>
          <w:szCs w:val="30"/>
          <w:u w:val="single"/>
        </w:rPr>
        <w:t xml:space="preserve">   </w:t>
      </w:r>
      <w:r>
        <w:rPr>
          <w:rFonts w:ascii="宋体" w:hAnsi="宋体" w:eastAsia="宋体"/>
          <w:color w:val="auto"/>
          <w:sz w:val="30"/>
          <w:szCs w:val="30"/>
          <w:u w:val="single"/>
        </w:rPr>
        <w:t xml:space="preserve"> </w:t>
      </w:r>
    </w:p>
    <w:p w14:paraId="0CD08B73">
      <w:pPr>
        <w:spacing w:line="480" w:lineRule="auto"/>
        <w:rPr>
          <w:rFonts w:ascii="宋体" w:hAnsi="宋体" w:eastAsia="宋体"/>
          <w:color w:val="auto"/>
          <w:sz w:val="30"/>
          <w:szCs w:val="30"/>
        </w:rPr>
      </w:pPr>
    </w:p>
    <w:p w14:paraId="378260D7">
      <w:pPr>
        <w:spacing w:line="480" w:lineRule="auto"/>
        <w:rPr>
          <w:rFonts w:ascii="宋体" w:hAnsi="宋体" w:eastAsia="宋体"/>
          <w:color w:val="auto"/>
          <w:sz w:val="30"/>
          <w:szCs w:val="30"/>
        </w:rPr>
      </w:pPr>
    </w:p>
    <w:p w14:paraId="3532DD2F">
      <w:pPr>
        <w:spacing w:line="480" w:lineRule="auto"/>
        <w:rPr>
          <w:rFonts w:ascii="宋体" w:hAnsi="宋体" w:eastAsia="宋体"/>
          <w:color w:val="auto"/>
          <w:sz w:val="30"/>
          <w:szCs w:val="30"/>
        </w:rPr>
      </w:pPr>
    </w:p>
    <w:p w14:paraId="1FC9FC70">
      <w:pPr>
        <w:spacing w:line="480" w:lineRule="auto"/>
        <w:rPr>
          <w:rFonts w:ascii="宋体" w:hAnsi="宋体" w:eastAsia="宋体"/>
          <w:color w:val="auto"/>
          <w:sz w:val="30"/>
          <w:szCs w:val="30"/>
        </w:rPr>
      </w:pPr>
    </w:p>
    <w:p w14:paraId="22E6107B">
      <w:pPr>
        <w:spacing w:line="720" w:lineRule="auto"/>
        <w:jc w:val="center"/>
        <w:rPr>
          <w:rFonts w:ascii="宋体" w:hAnsi="宋体" w:eastAsia="宋体"/>
          <w:b/>
          <w:bCs/>
          <w:color w:val="auto"/>
          <w:sz w:val="36"/>
          <w:szCs w:val="36"/>
        </w:rPr>
      </w:pPr>
      <w:r>
        <w:rPr>
          <w:rFonts w:hint="eastAsia" w:ascii="宋体" w:hAnsi="宋体" w:eastAsia="宋体"/>
          <w:b/>
          <w:bCs/>
          <w:color w:val="auto"/>
          <w:sz w:val="36"/>
          <w:szCs w:val="36"/>
        </w:rPr>
        <w:t>二〇二</w:t>
      </w:r>
      <w:r>
        <w:rPr>
          <w:rFonts w:hint="eastAsia" w:ascii="宋体" w:hAnsi="宋体" w:eastAsia="宋体"/>
          <w:b/>
          <w:bCs/>
          <w:color w:val="auto"/>
          <w:sz w:val="36"/>
          <w:szCs w:val="36"/>
          <w:lang w:val="en-US" w:eastAsia="zh-CN"/>
        </w:rPr>
        <w:t>五</w:t>
      </w:r>
      <w:r>
        <w:rPr>
          <w:rFonts w:hint="eastAsia" w:ascii="宋体" w:hAnsi="宋体" w:eastAsia="宋体"/>
          <w:b/>
          <w:bCs/>
          <w:color w:val="auto"/>
          <w:sz w:val="36"/>
          <w:szCs w:val="36"/>
        </w:rPr>
        <w:t>年</w:t>
      </w:r>
      <w:r>
        <w:rPr>
          <w:rFonts w:hint="eastAsia" w:ascii="宋体" w:hAnsi="宋体" w:eastAsia="宋体"/>
          <w:b/>
          <w:bCs/>
          <w:color w:val="auto"/>
          <w:sz w:val="36"/>
          <w:szCs w:val="36"/>
          <w:lang w:val="en-US" w:eastAsia="zh-CN"/>
        </w:rPr>
        <w:t>十二</w:t>
      </w:r>
      <w:r>
        <w:rPr>
          <w:rFonts w:hint="eastAsia" w:ascii="宋体" w:hAnsi="宋体" w:eastAsia="宋体"/>
          <w:b/>
          <w:bCs/>
          <w:color w:val="auto"/>
          <w:sz w:val="36"/>
          <w:szCs w:val="36"/>
        </w:rPr>
        <w:t>月</w:t>
      </w:r>
    </w:p>
    <w:p w14:paraId="1EDB667C">
      <w:pPr>
        <w:spacing w:line="480" w:lineRule="auto"/>
        <w:jc w:val="left"/>
        <w:rPr>
          <w:rFonts w:ascii="宋体" w:hAnsi="宋体" w:eastAsia="宋体"/>
          <w:b/>
          <w:bCs/>
          <w:color w:val="auto"/>
          <w:sz w:val="36"/>
          <w:szCs w:val="36"/>
        </w:rPr>
      </w:pPr>
      <w:r>
        <w:rPr>
          <w:rFonts w:ascii="方正小标宋简体" w:hAnsi="宋体" w:eastAsia="方正小标宋简体"/>
          <w:color w:val="auto"/>
          <w:sz w:val="44"/>
          <w:szCs w:val="44"/>
        </w:rPr>
        <w:br w:type="page"/>
      </w:r>
    </w:p>
    <w:sdt>
      <w:sdtPr>
        <w:rPr>
          <w:rFonts w:ascii="等线" w:hAnsi="等线" w:eastAsia="等线" w:cs="宋体"/>
          <w:color w:val="auto"/>
          <w:kern w:val="2"/>
          <w:sz w:val="21"/>
          <w:szCs w:val="22"/>
          <w:lang w:val="zh-CN"/>
        </w:rPr>
        <w:id w:val="673854157"/>
        <w:docPartObj>
          <w:docPartGallery w:val="Table of Contents"/>
          <w:docPartUnique/>
        </w:docPartObj>
      </w:sdtPr>
      <w:sdtEndPr>
        <w:rPr>
          <w:rFonts w:ascii="等线" w:hAnsi="等线" w:eastAsia="等线" w:cs="宋体"/>
          <w:b/>
          <w:bCs/>
          <w:color w:val="auto"/>
          <w:kern w:val="2"/>
          <w:sz w:val="21"/>
          <w:szCs w:val="22"/>
          <w:lang w:val="zh-CN"/>
        </w:rPr>
      </w:sdtEndPr>
      <w:sdtContent>
        <w:p w14:paraId="6CA2B113">
          <w:pPr>
            <w:pStyle w:val="28"/>
            <w:jc w:val="center"/>
            <w:rPr>
              <w:color w:val="auto"/>
            </w:rPr>
          </w:pPr>
          <w:r>
            <w:rPr>
              <w:color w:val="auto"/>
              <w:sz w:val="44"/>
              <w:szCs w:val="44"/>
              <w:lang w:val="zh-CN"/>
            </w:rPr>
            <w:t>目录</w:t>
          </w:r>
        </w:p>
        <w:p w14:paraId="29C34ED5">
          <w:pPr>
            <w:pStyle w:val="8"/>
            <w:tabs>
              <w:tab w:val="right" w:leader="dot" w:pos="8296"/>
            </w:tabs>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TOC \o "1-3" \h \z \u </w:instrText>
          </w:r>
          <w:r>
            <w:rPr>
              <w:color w:val="auto"/>
            </w:rPr>
            <w:fldChar w:fldCharType="separate"/>
          </w:r>
        </w:p>
        <w:p w14:paraId="28D24026">
          <w:pPr>
            <w:pStyle w:val="8"/>
            <w:tabs>
              <w:tab w:val="right" w:leader="dot" w:pos="8296"/>
            </w:tabs>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"_Toc165400060" </w:instrText>
          </w:r>
          <w:r>
            <w:rPr>
              <w:color w:val="auto"/>
            </w:rPr>
            <w:fldChar w:fldCharType="separate"/>
          </w:r>
          <w:r>
            <w:rPr>
              <w:rStyle w:val="14"/>
              <w:rFonts w:ascii="方正小标宋简体" w:hAnsi="宋体" w:eastAsia="方正小标宋简体"/>
              <w:color w:val="auto"/>
            </w:rPr>
            <w:t>第</w:t>
          </w:r>
          <w:r>
            <w:rPr>
              <w:rStyle w:val="14"/>
              <w:rFonts w:hint="eastAsia" w:ascii="方正小标宋简体" w:hAnsi="宋体" w:eastAsia="方正小标宋简体"/>
              <w:color w:val="auto"/>
              <w:lang w:val="en-US" w:eastAsia="zh-CN"/>
            </w:rPr>
            <w:t>一</w:t>
          </w:r>
          <w:r>
            <w:rPr>
              <w:rStyle w:val="14"/>
              <w:rFonts w:ascii="方正小标宋简体" w:hAnsi="宋体" w:eastAsia="方正小标宋简体"/>
              <w:color w:val="auto"/>
            </w:rPr>
            <w:t>章 采购</w:t>
          </w:r>
          <w:r>
            <w:rPr>
              <w:rStyle w:val="14"/>
              <w:rFonts w:hint="eastAsia" w:ascii="方正小标宋简体" w:hAnsi="宋体" w:eastAsia="方正小标宋简体"/>
              <w:color w:val="auto"/>
              <w:lang w:val="en-US" w:eastAsia="zh-CN"/>
            </w:rPr>
            <w:t>公告</w:t>
          </w:r>
          <w:r>
            <w:rPr>
              <w:color w:val="auto"/>
            </w:rPr>
            <w:tab/>
          </w:r>
          <w:r>
            <w:rPr>
              <w:rFonts w:hint="eastAsia"/>
              <w:color w:val="auto"/>
              <w:lang w:val="en-US" w:eastAsia="zh-CN"/>
            </w:rPr>
            <w:t>3</w:t>
          </w:r>
          <w:r>
            <w:rPr>
              <w:color w:val="auto"/>
            </w:rPr>
            <w:fldChar w:fldCharType="end"/>
          </w:r>
        </w:p>
        <w:p w14:paraId="5E6E27D0">
          <w:pPr>
            <w:pStyle w:val="8"/>
            <w:tabs>
              <w:tab w:val="right" w:leader="dot" w:pos="8296"/>
            </w:tabs>
            <w:rPr>
              <w:color w:val="auto"/>
            </w:rPr>
          </w:pPr>
          <w:r>
            <w:rPr>
              <w:color w:val="auto"/>
            </w:rPr>
            <w:fldChar w:fldCharType="begin"/>
          </w:r>
          <w:r>
            <w:rPr>
              <w:color w:val="auto"/>
            </w:rPr>
            <w:instrText xml:space="preserve"> HYPERLINK \l "_Toc165400060" </w:instrText>
          </w:r>
          <w:r>
            <w:rPr>
              <w:color w:val="auto"/>
            </w:rPr>
            <w:fldChar w:fldCharType="separate"/>
          </w:r>
          <w:r>
            <w:rPr>
              <w:rStyle w:val="14"/>
              <w:rFonts w:ascii="方正小标宋简体" w:hAnsi="宋体" w:eastAsia="方正小标宋简体"/>
              <w:color w:val="auto"/>
            </w:rPr>
            <w:t>第</w:t>
          </w:r>
          <w:r>
            <w:rPr>
              <w:rStyle w:val="14"/>
              <w:rFonts w:hint="eastAsia" w:ascii="方正小标宋简体" w:hAnsi="宋体" w:eastAsia="方正小标宋简体"/>
              <w:color w:val="auto"/>
              <w:lang w:val="en-US" w:eastAsia="zh-CN"/>
            </w:rPr>
            <w:t>二</w:t>
          </w:r>
          <w:r>
            <w:rPr>
              <w:rStyle w:val="14"/>
              <w:rFonts w:ascii="方正小标宋简体" w:hAnsi="宋体" w:eastAsia="方正小标宋简体"/>
              <w:color w:val="auto"/>
            </w:rPr>
            <w:t>章 采购</w:t>
          </w:r>
          <w:r>
            <w:rPr>
              <w:rStyle w:val="14"/>
              <w:rFonts w:hint="eastAsia" w:ascii="方正小标宋简体" w:hAnsi="宋体" w:eastAsia="方正小标宋简体"/>
              <w:color w:val="auto"/>
              <w:lang w:val="en-US" w:eastAsia="zh-CN"/>
            </w:rPr>
            <w:t>文件</w:t>
          </w:r>
          <w:r>
            <w:rPr>
              <w:color w:val="auto"/>
            </w:rPr>
            <w:tab/>
          </w:r>
          <w:r>
            <w:rPr>
              <w:rFonts w:hint="eastAsia"/>
              <w:color w:val="auto"/>
              <w:lang w:val="en-US" w:eastAsia="zh-CN"/>
            </w:rPr>
            <w:t>3</w:t>
          </w:r>
          <w:r>
            <w:rPr>
              <w:color w:val="auto"/>
            </w:rPr>
            <w:fldChar w:fldCharType="end"/>
          </w:r>
        </w:p>
        <w:p w14:paraId="4913FCA7">
          <w:pPr>
            <w:pStyle w:val="8"/>
            <w:tabs>
              <w:tab w:val="right" w:leader="dot" w:pos="8296"/>
            </w:tabs>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"_Toc165400061" </w:instrText>
          </w:r>
          <w:r>
            <w:rPr>
              <w:color w:val="auto"/>
            </w:rPr>
            <w:fldChar w:fldCharType="separate"/>
          </w:r>
          <w:r>
            <w:rPr>
              <w:rStyle w:val="14"/>
              <w:rFonts w:ascii="方正小标宋简体" w:hAnsi="仿宋_GB2312" w:eastAsia="方正小标宋简体" w:cs="仿宋_GB2312"/>
              <w:color w:val="auto"/>
            </w:rPr>
            <w:t>第</w:t>
          </w:r>
          <w:r>
            <w:rPr>
              <w:rStyle w:val="14"/>
              <w:rFonts w:hint="eastAsia" w:ascii="方正小标宋简体" w:hAnsi="仿宋_GB2312" w:eastAsia="方正小标宋简体" w:cs="仿宋_GB2312"/>
              <w:color w:val="auto"/>
              <w:lang w:val="en-US" w:eastAsia="zh-CN"/>
            </w:rPr>
            <w:t>三</w:t>
          </w:r>
          <w:r>
            <w:rPr>
              <w:rStyle w:val="14"/>
              <w:rFonts w:ascii="方正小标宋简体" w:hAnsi="仿宋_GB2312" w:eastAsia="方正小标宋简体" w:cs="仿宋_GB2312"/>
              <w:color w:val="auto"/>
            </w:rPr>
            <w:t>章 响应文件</w:t>
          </w:r>
          <w:r>
            <w:rPr>
              <w:color w:val="auto"/>
            </w:rPr>
            <w:tab/>
          </w:r>
          <w:r>
            <w:rPr>
              <w:rFonts w:hint="eastAsia"/>
              <w:color w:val="auto"/>
              <w:lang w:val="en-US" w:eastAsia="zh-CN"/>
            </w:rPr>
            <w:t>8</w:t>
          </w:r>
          <w:r>
            <w:rPr>
              <w:color w:val="auto"/>
            </w:rPr>
            <w:fldChar w:fldCharType="end"/>
          </w:r>
        </w:p>
        <w:p w14:paraId="1ED07C52">
          <w:pPr>
            <w:pStyle w:val="8"/>
            <w:tabs>
              <w:tab w:val="right" w:leader="dot" w:pos="8296"/>
            </w:tabs>
            <w:rPr>
              <w:rFonts w:hint="eastAsia" w:eastAsia="等线" w:asciiTheme="minorHAnsi" w:hAnsiTheme="minorHAnsi" w:cstheme="minorBidi"/>
              <w:color w:val="auto"/>
              <w:lang w:val="en-US" w:eastAsia="zh-CN"/>
              <w14:ligatures w14:val="standardContextual"/>
            </w:rPr>
          </w:pPr>
          <w:r>
            <w:rPr>
              <w:color w:val="auto"/>
            </w:rPr>
            <w:fldChar w:fldCharType="begin"/>
          </w:r>
          <w:r>
            <w:rPr>
              <w:color w:val="auto"/>
            </w:rPr>
            <w:instrText xml:space="preserve"> HYPERLINK \l "_Toc165400062" </w:instrText>
          </w:r>
          <w:r>
            <w:rPr>
              <w:color w:val="auto"/>
            </w:rPr>
            <w:fldChar w:fldCharType="separate"/>
          </w:r>
          <w:r>
            <w:rPr>
              <w:rStyle w:val="14"/>
              <w:rFonts w:ascii="方正小标宋简体" w:hAnsi="仿宋_GB2312" w:eastAsia="方正小标宋简体" w:cs="仿宋_GB2312"/>
              <w:color w:val="auto"/>
            </w:rPr>
            <w:t>第</w:t>
          </w:r>
          <w:r>
            <w:rPr>
              <w:rStyle w:val="14"/>
              <w:rFonts w:hint="eastAsia" w:ascii="方正小标宋简体" w:hAnsi="仿宋_GB2312" w:eastAsia="方正小标宋简体" w:cs="仿宋_GB2312"/>
              <w:color w:val="auto"/>
              <w:lang w:val="en-US" w:eastAsia="zh-CN"/>
            </w:rPr>
            <w:t>四</w:t>
          </w:r>
          <w:r>
            <w:rPr>
              <w:rStyle w:val="14"/>
              <w:rFonts w:ascii="方正小标宋简体" w:hAnsi="仿宋_GB2312" w:eastAsia="方正小标宋简体" w:cs="仿宋_GB2312"/>
              <w:color w:val="auto"/>
            </w:rPr>
            <w:t>章 响应文件开启和评审</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14:paraId="3F3E0D9C">
          <w:pPr>
            <w:pStyle w:val="8"/>
            <w:tabs>
              <w:tab w:val="right" w:leader="dot" w:pos="8296"/>
            </w:tabs>
            <w:rPr>
              <w:rFonts w:hint="eastAsia" w:eastAsia="等线" w:asciiTheme="minorHAnsi" w:hAnsiTheme="minorHAnsi" w:cstheme="minorBidi"/>
              <w:color w:val="auto"/>
              <w:lang w:val="en-US" w:eastAsia="zh-CN"/>
              <w14:ligatures w14:val="standardContextual"/>
            </w:rPr>
          </w:pPr>
          <w:r>
            <w:rPr>
              <w:color w:val="auto"/>
            </w:rPr>
            <w:fldChar w:fldCharType="begin"/>
          </w:r>
          <w:r>
            <w:rPr>
              <w:color w:val="auto"/>
            </w:rPr>
            <w:instrText xml:space="preserve"> HYPERLINK \l "_Toc165400063" </w:instrText>
          </w:r>
          <w:r>
            <w:rPr>
              <w:color w:val="auto"/>
            </w:rPr>
            <w:fldChar w:fldCharType="separate"/>
          </w:r>
          <w:r>
            <w:rPr>
              <w:rStyle w:val="14"/>
              <w:rFonts w:ascii="方正小标宋简体" w:hAnsi="仿宋_GB2312" w:eastAsia="方正小标宋简体" w:cs="仿宋_GB2312"/>
              <w:color w:val="auto"/>
            </w:rPr>
            <w:t>第</w:t>
          </w:r>
          <w:r>
            <w:rPr>
              <w:rStyle w:val="14"/>
              <w:rFonts w:hint="eastAsia" w:ascii="方正小标宋简体" w:hAnsi="仿宋_GB2312" w:eastAsia="方正小标宋简体" w:cs="仿宋_GB2312"/>
              <w:color w:val="auto"/>
              <w:lang w:val="en-US" w:eastAsia="zh-CN"/>
            </w:rPr>
            <w:t>五</w:t>
          </w:r>
          <w:r>
            <w:rPr>
              <w:rStyle w:val="14"/>
              <w:rFonts w:ascii="方正小标宋简体" w:hAnsi="仿宋_GB2312" w:eastAsia="方正小标宋简体" w:cs="仿宋_GB2312"/>
              <w:color w:val="auto"/>
            </w:rPr>
            <w:t>章 合同签订及其他</w:t>
          </w:r>
          <w:r>
            <w:rPr>
              <w:color w:val="auto"/>
            </w:rPr>
            <w:tab/>
          </w:r>
          <w:r>
            <w:rPr>
              <w:rFonts w:hint="eastAsia"/>
              <w:color w:val="auto"/>
              <w:lang w:val="en-US" w:eastAsia="zh-CN"/>
            </w:rPr>
            <w:t>1</w:t>
          </w:r>
          <w:r>
            <w:rPr>
              <w:color w:val="auto"/>
            </w:rPr>
            <w:fldChar w:fldCharType="end"/>
          </w:r>
          <w:r>
            <w:rPr>
              <w:rFonts w:hint="eastAsia"/>
              <w:color w:val="auto"/>
              <w:lang w:val="en-US" w:eastAsia="zh-CN"/>
            </w:rPr>
            <w:t>4</w:t>
          </w:r>
        </w:p>
        <w:p w14:paraId="4A9CFFE0">
          <w:pPr>
            <w:pStyle w:val="8"/>
            <w:tabs>
              <w:tab w:val="right" w:leader="dot" w:pos="8296"/>
            </w:tabs>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"_Toc165400064" </w:instrText>
          </w:r>
          <w:r>
            <w:rPr>
              <w:color w:val="auto"/>
            </w:rPr>
            <w:fldChar w:fldCharType="separate"/>
          </w:r>
          <w:r>
            <w:rPr>
              <w:rStyle w:val="14"/>
              <w:rFonts w:ascii="方正小标宋简体" w:hAnsi="仿宋_GB2312" w:eastAsia="方正小标宋简体" w:cs="仿宋_GB2312"/>
              <w:color w:val="auto"/>
            </w:rPr>
            <w:t>第</w:t>
          </w:r>
          <w:r>
            <w:rPr>
              <w:rStyle w:val="14"/>
              <w:rFonts w:hint="eastAsia" w:ascii="方正小标宋简体" w:hAnsi="仿宋_GB2312" w:eastAsia="方正小标宋简体" w:cs="仿宋_GB2312"/>
              <w:color w:val="auto"/>
              <w:lang w:val="en-US" w:eastAsia="zh-CN"/>
            </w:rPr>
            <w:t>六</w:t>
          </w:r>
          <w:r>
            <w:rPr>
              <w:rStyle w:val="14"/>
              <w:rFonts w:ascii="方正小标宋简体" w:hAnsi="仿宋_GB2312" w:eastAsia="方正小标宋简体" w:cs="仿宋_GB2312"/>
              <w:color w:val="auto"/>
            </w:rPr>
            <w:t>章 附件</w:t>
          </w:r>
          <w:r>
            <w:rPr>
              <w:color w:val="auto"/>
            </w:rPr>
            <w:tab/>
          </w:r>
          <w:r>
            <w:rPr>
              <w:color w:val="auto"/>
            </w:rPr>
            <w:fldChar w:fldCharType="begin"/>
          </w:r>
          <w:r>
            <w:rPr>
              <w:color w:val="auto"/>
            </w:rPr>
            <w:instrText xml:space="preserve"> PAGEREF _Toc165400064 \h </w:instrText>
          </w:r>
          <w:r>
            <w:rPr>
              <w:color w:val="auto"/>
            </w:rPr>
            <w:fldChar w:fldCharType="separate"/>
          </w:r>
          <w:r>
            <w:rPr>
              <w:color w:val="auto"/>
            </w:rPr>
            <w:t>1</w:t>
          </w:r>
          <w:r>
            <w:rPr>
              <w:rFonts w:hint="eastAsia"/>
              <w:color w:val="auto"/>
              <w:lang w:val="en-US" w:eastAsia="zh-CN"/>
            </w:rPr>
            <w:t>5</w:t>
          </w:r>
          <w:r>
            <w:rPr>
              <w:color w:val="auto"/>
            </w:rPr>
            <w:fldChar w:fldCharType="end"/>
          </w:r>
          <w:r>
            <w:rPr>
              <w:color w:val="auto"/>
            </w:rPr>
            <w:fldChar w:fldCharType="end"/>
          </w:r>
        </w:p>
        <w:p w14:paraId="38702535">
          <w:pPr>
            <w:rPr>
              <w:color w:val="auto"/>
            </w:rPr>
          </w:pPr>
          <w:r>
            <w:rPr>
              <w:b/>
              <w:bCs/>
              <w:color w:val="auto"/>
              <w:lang w:val="zh-CN"/>
            </w:rPr>
            <w:fldChar w:fldCharType="end"/>
          </w:r>
        </w:p>
      </w:sdtContent>
    </w:sdt>
    <w:p w14:paraId="75014C3E">
      <w:pPr>
        <w:spacing w:line="480" w:lineRule="auto"/>
        <w:jc w:val="left"/>
        <w:rPr>
          <w:rFonts w:ascii="宋体" w:hAnsi="宋体" w:eastAsia="宋体"/>
          <w:b/>
          <w:bCs/>
          <w:color w:val="auto"/>
          <w:sz w:val="36"/>
          <w:szCs w:val="36"/>
        </w:rPr>
      </w:pPr>
    </w:p>
    <w:p w14:paraId="77EAFE28">
      <w:pPr>
        <w:spacing w:line="480" w:lineRule="auto"/>
        <w:jc w:val="left"/>
        <w:rPr>
          <w:rFonts w:ascii="宋体" w:hAnsi="宋体" w:eastAsia="宋体"/>
          <w:b/>
          <w:bCs/>
          <w:color w:val="auto"/>
          <w:sz w:val="36"/>
          <w:szCs w:val="36"/>
        </w:rPr>
      </w:pPr>
    </w:p>
    <w:p w14:paraId="67B40A19">
      <w:pPr>
        <w:spacing w:line="480" w:lineRule="auto"/>
        <w:jc w:val="left"/>
        <w:rPr>
          <w:rFonts w:ascii="宋体" w:hAnsi="宋体" w:eastAsia="宋体"/>
          <w:b/>
          <w:bCs/>
          <w:color w:val="auto"/>
          <w:sz w:val="36"/>
          <w:szCs w:val="36"/>
        </w:rPr>
      </w:pPr>
    </w:p>
    <w:p w14:paraId="35629773">
      <w:pPr>
        <w:spacing w:line="480" w:lineRule="auto"/>
        <w:jc w:val="left"/>
        <w:rPr>
          <w:rFonts w:ascii="宋体" w:hAnsi="宋体" w:eastAsia="宋体"/>
          <w:b/>
          <w:bCs/>
          <w:color w:val="auto"/>
          <w:sz w:val="36"/>
          <w:szCs w:val="36"/>
        </w:rPr>
      </w:pPr>
    </w:p>
    <w:p w14:paraId="4772ED49">
      <w:pPr>
        <w:spacing w:line="480" w:lineRule="auto"/>
        <w:jc w:val="left"/>
        <w:rPr>
          <w:rFonts w:ascii="宋体" w:hAnsi="宋体" w:eastAsia="宋体"/>
          <w:b/>
          <w:bCs/>
          <w:color w:val="auto"/>
          <w:sz w:val="36"/>
          <w:szCs w:val="36"/>
        </w:rPr>
      </w:pPr>
    </w:p>
    <w:p w14:paraId="41FB3A8E">
      <w:pPr>
        <w:spacing w:line="480" w:lineRule="auto"/>
        <w:jc w:val="left"/>
        <w:rPr>
          <w:rFonts w:ascii="宋体" w:hAnsi="宋体" w:eastAsia="宋体"/>
          <w:b/>
          <w:bCs/>
          <w:color w:val="auto"/>
          <w:sz w:val="36"/>
          <w:szCs w:val="36"/>
        </w:rPr>
      </w:pPr>
    </w:p>
    <w:p w14:paraId="17FF914E">
      <w:pPr>
        <w:spacing w:line="480" w:lineRule="auto"/>
        <w:jc w:val="left"/>
        <w:rPr>
          <w:rFonts w:ascii="宋体" w:hAnsi="宋体" w:eastAsia="宋体"/>
          <w:b/>
          <w:bCs/>
          <w:color w:val="auto"/>
          <w:sz w:val="36"/>
          <w:szCs w:val="36"/>
        </w:rPr>
      </w:pPr>
    </w:p>
    <w:p w14:paraId="46029226">
      <w:pPr>
        <w:spacing w:line="480" w:lineRule="auto"/>
        <w:jc w:val="left"/>
        <w:rPr>
          <w:rFonts w:ascii="宋体" w:hAnsi="宋体" w:eastAsia="宋体"/>
          <w:b/>
          <w:bCs/>
          <w:color w:val="auto"/>
          <w:sz w:val="36"/>
          <w:szCs w:val="36"/>
        </w:rPr>
      </w:pPr>
    </w:p>
    <w:p w14:paraId="7DBA27F4">
      <w:pPr>
        <w:spacing w:line="480" w:lineRule="auto"/>
        <w:jc w:val="left"/>
        <w:rPr>
          <w:rFonts w:ascii="宋体" w:hAnsi="宋体" w:eastAsia="宋体"/>
          <w:b/>
          <w:bCs/>
          <w:color w:val="auto"/>
          <w:sz w:val="36"/>
          <w:szCs w:val="36"/>
        </w:rPr>
      </w:pPr>
    </w:p>
    <w:p w14:paraId="173A16F1">
      <w:pPr>
        <w:spacing w:line="480" w:lineRule="auto"/>
        <w:jc w:val="left"/>
        <w:rPr>
          <w:rFonts w:ascii="宋体" w:hAnsi="宋体" w:eastAsia="宋体"/>
          <w:b/>
          <w:bCs/>
          <w:color w:val="auto"/>
          <w:sz w:val="36"/>
          <w:szCs w:val="36"/>
        </w:rPr>
      </w:pPr>
    </w:p>
    <w:p w14:paraId="455B1DB0">
      <w:pPr>
        <w:spacing w:line="480" w:lineRule="auto"/>
        <w:jc w:val="left"/>
        <w:rPr>
          <w:rFonts w:ascii="宋体" w:hAnsi="宋体" w:eastAsia="宋体"/>
          <w:b/>
          <w:bCs/>
          <w:color w:val="auto"/>
          <w:sz w:val="36"/>
          <w:szCs w:val="36"/>
        </w:rPr>
      </w:pPr>
    </w:p>
    <w:p w14:paraId="257D0D5B">
      <w:pPr>
        <w:spacing w:line="480" w:lineRule="auto"/>
        <w:jc w:val="left"/>
        <w:rPr>
          <w:rFonts w:ascii="宋体" w:hAnsi="宋体" w:eastAsia="宋体"/>
          <w:b/>
          <w:bCs/>
          <w:color w:val="auto"/>
          <w:sz w:val="36"/>
          <w:szCs w:val="36"/>
        </w:rPr>
      </w:pPr>
    </w:p>
    <w:p w14:paraId="55AE395B">
      <w:pPr>
        <w:spacing w:line="480" w:lineRule="auto"/>
        <w:jc w:val="left"/>
        <w:rPr>
          <w:rFonts w:ascii="宋体" w:hAnsi="宋体" w:eastAsia="宋体"/>
          <w:b/>
          <w:bCs/>
          <w:color w:val="auto"/>
          <w:sz w:val="36"/>
          <w:szCs w:val="36"/>
        </w:rPr>
      </w:pPr>
    </w:p>
    <w:p w14:paraId="5249515E">
      <w:pPr>
        <w:spacing w:line="480" w:lineRule="auto"/>
        <w:jc w:val="left"/>
        <w:rPr>
          <w:rFonts w:ascii="宋体" w:hAnsi="宋体" w:eastAsia="宋体"/>
          <w:b/>
          <w:bCs/>
          <w:color w:val="auto"/>
          <w:sz w:val="36"/>
          <w:szCs w:val="36"/>
        </w:rPr>
      </w:pPr>
    </w:p>
    <w:p w14:paraId="57E9CEB1">
      <w:pPr>
        <w:pStyle w:val="2"/>
        <w:spacing w:before="0" w:after="0" w:line="560" w:lineRule="exact"/>
        <w:jc w:val="center"/>
        <w:rPr>
          <w:rFonts w:hint="eastAsia" w:ascii="仿宋_GB2312" w:eastAsia="仿宋_GB2312" w:hAnsiTheme="majorEastAsia"/>
          <w:sz w:val="32"/>
          <w:szCs w:val="32"/>
        </w:rPr>
      </w:pPr>
      <w:bookmarkStart w:id="0" w:name="_Toc194519093"/>
      <w:r>
        <w:rPr>
          <w:rFonts w:hint="eastAsia" w:ascii="方正小标宋简体" w:hAnsi="宋体" w:eastAsia="方正小标宋简体" w:cs="Times New Roman"/>
        </w:rPr>
        <w:t>第一章 采购公告</w:t>
      </w:r>
      <w:bookmarkEnd w:id="0"/>
    </w:p>
    <w:p w14:paraId="0E6B773E">
      <w:pPr>
        <w:spacing w:line="560" w:lineRule="exact"/>
        <w:ind w:left="210" w:leftChars="100" w:firstLine="640" w:firstLineChars="200"/>
        <w:jc w:val="left"/>
        <w:rPr>
          <w:rFonts w:hint="eastAsia" w:ascii="仿宋_GB2312" w:eastAsia="仿宋_GB2312" w:hAnsiTheme="majorEastAsia"/>
          <w:sz w:val="32"/>
          <w:szCs w:val="32"/>
        </w:rPr>
      </w:pPr>
    </w:p>
    <w:p w14:paraId="3FAB382A">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深圳书城文化（集团）有限公司就</w:t>
      </w:r>
      <w:r>
        <w:rPr>
          <w:rFonts w:hint="eastAsia" w:ascii="仿宋_GB2312" w:eastAsia="仿宋_GB2312" w:hAnsiTheme="majorEastAsia"/>
          <w:sz w:val="32"/>
          <w:szCs w:val="32"/>
          <w:u w:val="single"/>
        </w:rPr>
        <w:t xml:space="preserve">  2025年全国新书首发中心活动中介机构咨询服务及媒体宣传服务项目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进行采购，欢迎符合资格的供应商</w:t>
      </w:r>
      <w:r>
        <w:rPr>
          <w:rFonts w:hint="eastAsia" w:ascii="仿宋_GB2312" w:eastAsia="仿宋_GB2312" w:hAnsiTheme="majorEastAsia"/>
          <w:sz w:val="32"/>
          <w:szCs w:val="32"/>
        </w:rPr>
        <w:t>参与本次采购活动。</w:t>
      </w:r>
      <w:r>
        <w:rPr>
          <w:rFonts w:ascii="宋体" w:hAnsi="宋体"/>
          <w:sz w:val="32"/>
          <w:szCs w:val="32"/>
        </w:rPr>
        <w:t xml:space="preserve"> </w:t>
      </w:r>
    </w:p>
    <w:p w14:paraId="26967143">
      <w:pPr>
        <w:spacing w:line="56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一、采购项目简介</w:t>
      </w:r>
    </w:p>
    <w:p w14:paraId="7483CE2F">
      <w:pPr>
        <w:spacing w:line="560" w:lineRule="exact"/>
        <w:ind w:firstLine="640" w:firstLineChars="200"/>
        <w:rPr>
          <w:rFonts w:hint="eastAsia" w:ascii="仿宋_GB2312" w:hAnsi="等线 Light" w:eastAsia="仿宋_GB2312" w:cs="Times New Roman"/>
          <w:color w:val="000000"/>
          <w:sz w:val="32"/>
          <w:szCs w:val="32"/>
        </w:rPr>
      </w:pPr>
      <w:r>
        <w:rPr>
          <w:rFonts w:hint="eastAsia" w:ascii="楷体_GB2312" w:hAnsi="等线 Light" w:eastAsia="楷体_GB2312" w:cs="Times New Roman"/>
          <w:color w:val="000000"/>
          <w:sz w:val="32"/>
          <w:szCs w:val="32"/>
        </w:rPr>
        <w:t>（一）项目名称：</w:t>
      </w:r>
      <w:r>
        <w:rPr>
          <w:rFonts w:hint="eastAsia" w:ascii="仿宋_GB2312" w:hAnsi="仿宋_GB2312" w:eastAsia="仿宋_GB2312" w:cs="仿宋_GB2312"/>
          <w:color w:val="000000"/>
          <w:sz w:val="32"/>
          <w:szCs w:val="32"/>
        </w:rPr>
        <w:t>2025年全国新书首发中心活动中介机构咨询服务及媒体宣传服务项目</w:t>
      </w:r>
    </w:p>
    <w:p w14:paraId="7F89DFC6">
      <w:pPr>
        <w:spacing w:line="560" w:lineRule="exact"/>
        <w:ind w:firstLine="640" w:firstLineChars="200"/>
        <w:rPr>
          <w:rFonts w:hint="eastAsia" w:ascii="仿宋_GB2312" w:hAnsi="等线 Light" w:eastAsia="仿宋_GB2312" w:cs="Times New Roman"/>
          <w:color w:val="000000"/>
          <w:sz w:val="32"/>
          <w:szCs w:val="32"/>
        </w:rPr>
      </w:pPr>
      <w:r>
        <w:rPr>
          <w:rFonts w:hint="eastAsia" w:ascii="楷体_GB2312" w:hAnsi="等线 Light" w:eastAsia="楷体_GB2312" w:cs="Times New Roman"/>
          <w:color w:val="000000"/>
          <w:sz w:val="32"/>
          <w:szCs w:val="32"/>
        </w:rPr>
        <w:t>（二）采购单位：</w:t>
      </w:r>
      <w:r>
        <w:rPr>
          <w:rFonts w:hint="eastAsia" w:ascii="仿宋_GB2312" w:hAnsi="等线 Light" w:eastAsia="仿宋_GB2312" w:cs="Times New Roman"/>
          <w:color w:val="000000"/>
          <w:sz w:val="32"/>
          <w:szCs w:val="32"/>
        </w:rPr>
        <w:t>深圳书城文化（集团）有限公司</w:t>
      </w:r>
    </w:p>
    <w:p w14:paraId="675AB520">
      <w:pPr>
        <w:spacing w:line="560" w:lineRule="exact"/>
        <w:ind w:firstLine="640"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color w:val="000000"/>
          <w:sz w:val="32"/>
          <w:szCs w:val="32"/>
        </w:rPr>
        <w:t>（三）采购需求</w:t>
      </w:r>
    </w:p>
    <w:p w14:paraId="5C29BF9A">
      <w:pPr>
        <w:pStyle w:val="17"/>
        <w:spacing w:line="560" w:lineRule="exact"/>
        <w:ind w:firstLine="643"/>
        <w:rPr>
          <w:rFonts w:hint="default" w:ascii="楷体_GB2312" w:hAnsi="等线 Light" w:eastAsia="仿宋_GB2312"/>
          <w:sz w:val="32"/>
          <w:szCs w:val="32"/>
          <w:lang w:val="en-US" w:eastAsia="zh-CN"/>
        </w:rPr>
      </w:pPr>
      <w:r>
        <w:rPr>
          <w:rFonts w:hint="eastAsia"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lang w:val="en-US" w:eastAsia="zh-CN"/>
          <w14:textFill>
            <w14:solidFill>
              <w14:schemeClr w14:val="tx1"/>
            </w14:solidFill>
          </w14:textFill>
        </w:rPr>
        <w:t>中介机构咨询服务</w:t>
      </w:r>
      <w:r>
        <w:rPr>
          <w:rFonts w:hint="eastAsia" w:ascii="仿宋_GB2312" w:hAnsi="仿宋" w:eastAsia="仿宋_GB2312"/>
          <w:b/>
          <w:bCs/>
          <w:color w:val="000000" w:themeColor="text1"/>
          <w:sz w:val="32"/>
          <w:szCs w:val="32"/>
          <w14:textFill>
            <w14:solidFill>
              <w14:schemeClr w14:val="tx1"/>
            </w14:solidFill>
          </w14:textFill>
        </w:rPr>
        <w:t>：</w:t>
      </w:r>
      <w:r>
        <w:rPr>
          <w:rFonts w:hint="eastAsia" w:ascii="仿宋_GB2312" w:hAnsi="等线 Light" w:eastAsia="仿宋_GB2312"/>
          <w:sz w:val="32"/>
          <w:szCs w:val="32"/>
          <w:lang w:val="en-US" w:eastAsia="zh-CN"/>
        </w:rPr>
        <w:t>通过微信公众平台发布有关“全国新书首发中心”内容的头条推文1则。</w:t>
      </w:r>
    </w:p>
    <w:p w14:paraId="7CD6B930">
      <w:pPr>
        <w:spacing w:line="560" w:lineRule="exact"/>
        <w:ind w:firstLine="643" w:firstLineChars="200"/>
        <w:rPr>
          <w:rFonts w:hint="eastAsia" w:ascii="楷体_GB2312" w:hAnsi="等线 Light" w:eastAsia="仿宋_GB2312"/>
          <w:b w:val="0"/>
          <w:bCs w:val="0"/>
          <w:sz w:val="32"/>
          <w:szCs w:val="32"/>
          <w:lang w:eastAsia="zh-CN"/>
        </w:rPr>
      </w:pPr>
      <w:r>
        <w:rPr>
          <w:rFonts w:hint="eastAsia"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lang w:val="en-US" w:eastAsia="zh-CN"/>
          <w14:textFill>
            <w14:solidFill>
              <w14:schemeClr w14:val="tx1"/>
            </w14:solidFill>
          </w14:textFill>
        </w:rPr>
        <w:t>媒体宣传服务</w:t>
      </w:r>
      <w:r>
        <w:rPr>
          <w:rFonts w:hint="eastAsia"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val="0"/>
          <w:bCs w:val="0"/>
          <w:color w:val="000000" w:themeColor="text1"/>
          <w:sz w:val="32"/>
          <w:szCs w:val="32"/>
          <w14:textFill>
            <w14:solidFill>
              <w14:schemeClr w14:val="tx1"/>
            </w14:solidFill>
          </w14:textFill>
        </w:rPr>
        <w:t>1项全国新书首发中心内容</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策划宣传</w:t>
      </w:r>
      <w:r>
        <w:rPr>
          <w:rFonts w:hint="eastAsia" w:ascii="仿宋_GB2312" w:hAnsi="仿宋" w:eastAsia="仿宋_GB2312"/>
          <w:b w:val="0"/>
          <w:bCs w:val="0"/>
          <w:color w:val="000000" w:themeColor="text1"/>
          <w:sz w:val="32"/>
          <w:szCs w:val="32"/>
          <w14:textFill>
            <w14:solidFill>
              <w14:schemeClr w14:val="tx1"/>
            </w14:solidFill>
          </w14:textFill>
        </w:rPr>
        <w:t>服务（包括但不限于推文排版、文案撰写、图片拍摄等）</w:t>
      </w:r>
      <w:r>
        <w:rPr>
          <w:rFonts w:hint="eastAsia" w:ascii="仿宋_GB2312" w:hAnsi="仿宋" w:eastAsia="仿宋_GB2312"/>
          <w:b w:val="0"/>
          <w:bCs w:val="0"/>
          <w:color w:val="000000" w:themeColor="text1"/>
          <w:sz w:val="32"/>
          <w:szCs w:val="32"/>
          <w:lang w:eastAsia="zh-CN"/>
          <w14:textFill>
            <w14:solidFill>
              <w14:schemeClr w14:val="tx1"/>
            </w14:solidFill>
          </w14:textFill>
        </w:rPr>
        <w:t>。</w:t>
      </w:r>
    </w:p>
    <w:p w14:paraId="601401D4">
      <w:pPr>
        <w:spacing w:line="560" w:lineRule="exact"/>
        <w:ind w:firstLine="643" w:firstLineChars="200"/>
        <w:rPr>
          <w:rFonts w:hint="eastAsia"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lang w:val="en-US" w:eastAsia="zh-CN"/>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.服务要求：</w:t>
      </w:r>
    </w:p>
    <w:p w14:paraId="7A9700F7">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（1）</w:t>
      </w:r>
      <w:r>
        <w:rPr>
          <w:rFonts w:ascii="仿宋_GB2312" w:hAnsi="等线 Light" w:eastAsia="仿宋_GB2312"/>
          <w:sz w:val="32"/>
          <w:szCs w:val="32"/>
        </w:rPr>
        <w:t>提供同类型文化类案例2个，需提供合同副本。</w:t>
      </w:r>
    </w:p>
    <w:p w14:paraId="0E0D0163">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（2）</w:t>
      </w:r>
      <w:r>
        <w:rPr>
          <w:rFonts w:hint="eastAsia" w:ascii="仿宋_GB2312" w:hAnsi="等线 Light" w:eastAsia="仿宋_GB2312"/>
          <w:sz w:val="32"/>
          <w:szCs w:val="32"/>
          <w:lang w:val="en-US" w:eastAsia="zh-CN"/>
        </w:rPr>
        <w:t>提供阅读量</w:t>
      </w:r>
      <w:r>
        <w:rPr>
          <w:rFonts w:ascii="仿宋_GB2312" w:hAnsi="等线 Light" w:eastAsia="仿宋_GB2312"/>
          <w:sz w:val="32"/>
          <w:szCs w:val="32"/>
        </w:rPr>
        <w:t>超过</w:t>
      </w:r>
      <w:r>
        <w:rPr>
          <w:rFonts w:hint="eastAsia" w:ascii="仿宋_GB2312" w:hAnsi="等线 Light" w:eastAsia="仿宋_GB2312"/>
          <w:sz w:val="32"/>
          <w:szCs w:val="32"/>
          <w:lang w:val="en-US" w:eastAsia="zh-CN"/>
        </w:rPr>
        <w:t>5</w:t>
      </w:r>
      <w:r>
        <w:rPr>
          <w:rFonts w:ascii="仿宋_GB2312" w:hAnsi="等线 Light" w:eastAsia="仿宋_GB2312"/>
          <w:sz w:val="32"/>
          <w:szCs w:val="32"/>
        </w:rPr>
        <w:t>万以上的</w:t>
      </w:r>
      <w:r>
        <w:rPr>
          <w:rFonts w:hint="eastAsia" w:ascii="仿宋_GB2312" w:hAnsi="等线 Light" w:eastAsia="仿宋_GB2312"/>
          <w:sz w:val="32"/>
          <w:szCs w:val="32"/>
          <w:lang w:val="en-US" w:eastAsia="zh-CN"/>
        </w:rPr>
        <w:t>推文</w:t>
      </w:r>
      <w:r>
        <w:rPr>
          <w:rFonts w:ascii="仿宋_GB2312" w:hAnsi="等线 Light" w:eastAsia="仿宋_GB2312"/>
          <w:sz w:val="32"/>
          <w:szCs w:val="32"/>
        </w:rPr>
        <w:t>3个，需提供</w:t>
      </w:r>
      <w:r>
        <w:rPr>
          <w:rFonts w:hint="eastAsia" w:ascii="仿宋_GB2312" w:hAnsi="等线 Light" w:eastAsia="仿宋_GB2312"/>
          <w:sz w:val="32"/>
          <w:szCs w:val="32"/>
          <w:lang w:val="en-US" w:eastAsia="zh-CN"/>
        </w:rPr>
        <w:t>推文链接</w:t>
      </w:r>
      <w:r>
        <w:rPr>
          <w:rFonts w:ascii="仿宋_GB2312" w:hAnsi="等线 Light" w:eastAsia="仿宋_GB2312"/>
          <w:sz w:val="32"/>
          <w:szCs w:val="32"/>
        </w:rPr>
        <w:t>。</w:t>
      </w:r>
    </w:p>
    <w:p w14:paraId="23FAFDF8">
      <w:pPr>
        <w:spacing w:line="560" w:lineRule="exact"/>
        <w:ind w:firstLine="640" w:firstLineChars="200"/>
        <w:rPr>
          <w:rFonts w:ascii="仿宋_GB2312" w:hAnsi="等线 Light" w:eastAsia="仿宋_GB2312"/>
          <w:sz w:val="32"/>
          <w:szCs w:val="32"/>
        </w:rPr>
      </w:pPr>
      <w:r>
        <w:rPr>
          <w:rFonts w:hint="eastAsia" w:ascii="仿宋_GB2312" w:hAnsi="等线 Light" w:eastAsia="仿宋_GB2312"/>
          <w:sz w:val="32"/>
          <w:szCs w:val="32"/>
        </w:rPr>
        <w:t>（3）</w:t>
      </w:r>
      <w:r>
        <w:rPr>
          <w:rFonts w:ascii="仿宋_GB2312" w:hAnsi="等线 Light" w:eastAsia="仿宋_GB2312"/>
          <w:sz w:val="32"/>
          <w:szCs w:val="32"/>
        </w:rPr>
        <w:t>服务项目小组主要工作人员至少由</w:t>
      </w:r>
      <w:r>
        <w:rPr>
          <w:rFonts w:hint="eastAsia" w:ascii="仿宋_GB2312" w:hAnsi="等线 Light" w:eastAsia="仿宋_GB2312"/>
          <w:sz w:val="32"/>
          <w:szCs w:val="32"/>
        </w:rPr>
        <w:t>3</w:t>
      </w:r>
      <w:r>
        <w:rPr>
          <w:rFonts w:ascii="仿宋_GB2312" w:hAnsi="等线 Light" w:eastAsia="仿宋_GB2312"/>
          <w:sz w:val="32"/>
          <w:szCs w:val="32"/>
        </w:rPr>
        <w:t>人组成。需列明劳动关系单位和社保缴纳单位。</w:t>
      </w:r>
    </w:p>
    <w:p w14:paraId="5E821EBB">
      <w:pPr>
        <w:spacing w:line="560" w:lineRule="exact"/>
        <w:ind w:firstLine="640" w:firstLineChars="200"/>
        <w:rPr>
          <w:rFonts w:hint="default" w:ascii="仿宋_GB2312" w:hAnsi="等线 Light" w:eastAsia="仿宋_GB2312"/>
          <w:sz w:val="32"/>
          <w:szCs w:val="32"/>
          <w:lang w:val="en-US" w:eastAsia="zh-CN"/>
        </w:rPr>
      </w:pPr>
      <w:r>
        <w:rPr>
          <w:rFonts w:hint="eastAsia" w:ascii="仿宋_GB2312" w:hAnsi="等线 Light" w:eastAsia="仿宋_GB2312"/>
          <w:sz w:val="32"/>
          <w:szCs w:val="32"/>
          <w:lang w:eastAsia="zh-CN"/>
        </w:rPr>
        <w:t>（</w:t>
      </w:r>
      <w:r>
        <w:rPr>
          <w:rFonts w:hint="eastAsia" w:ascii="仿宋_GB2312" w:hAnsi="等线 Light" w:eastAsia="仿宋_GB2312"/>
          <w:sz w:val="32"/>
          <w:szCs w:val="32"/>
          <w:lang w:val="en-US" w:eastAsia="zh-CN"/>
        </w:rPr>
        <w:t>4）微信公众号账号与所属供应商的关系证明</w:t>
      </w:r>
    </w:p>
    <w:p w14:paraId="6EEDE61D">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w:t>
      </w:r>
      <w:r>
        <w:rPr>
          <w:rFonts w:hint="eastAsia" w:ascii="仿宋_GB2312" w:hAnsi="等线 Light" w:eastAsia="仿宋_GB2312"/>
          <w:sz w:val="32"/>
          <w:szCs w:val="32"/>
          <w:lang w:val="en-US" w:eastAsia="zh-CN"/>
        </w:rPr>
        <w:t>5</w:t>
      </w:r>
      <w:r>
        <w:rPr>
          <w:rFonts w:hint="eastAsia" w:ascii="仿宋_GB2312" w:hAnsi="等线 Light" w:eastAsia="仿宋_GB2312"/>
          <w:sz w:val="32"/>
          <w:szCs w:val="32"/>
        </w:rPr>
        <w:t>）</w:t>
      </w:r>
      <w:r>
        <w:rPr>
          <w:rFonts w:ascii="仿宋_GB2312" w:hAnsi="等线 Light" w:eastAsia="仿宋_GB2312"/>
          <w:sz w:val="32"/>
          <w:szCs w:val="32"/>
        </w:rPr>
        <w:t>提供项目响应方案。</w:t>
      </w:r>
    </w:p>
    <w:p w14:paraId="528F215E">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bCs/>
          <w:color w:val="000000" w:themeColor="text1"/>
          <w:sz w:val="32"/>
          <w:szCs w:val="32"/>
          <w:lang w:val="en-US" w:eastAsia="zh-CN"/>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.服务期限：</w:t>
      </w:r>
      <w:r>
        <w:rPr>
          <w:rFonts w:hint="eastAsia" w:ascii="仿宋_GB2312" w:hAnsi="仿宋" w:eastAsia="仿宋_GB2312"/>
          <w:b w:val="0"/>
          <w:bCs w:val="0"/>
          <w:color w:val="000000" w:themeColor="text1"/>
          <w:sz w:val="32"/>
          <w:szCs w:val="32"/>
          <w14:textFill>
            <w14:solidFill>
              <w14:schemeClr w14:val="tx1"/>
            </w14:solidFill>
          </w14:textFill>
        </w:rPr>
        <w:t>自合同签订起至服务事项结束止。</w:t>
      </w:r>
    </w:p>
    <w:p w14:paraId="73E84ABA">
      <w:pPr>
        <w:spacing w:line="550" w:lineRule="exact"/>
        <w:ind w:firstLine="643" w:firstLineChars="200"/>
        <w:rPr>
          <w:rFonts w:hint="eastAsia" w:ascii="仿宋_GB2312" w:hAnsi="仿宋_GB2312" w:eastAsia="仿宋_GB2312" w:cs="仿宋_GB2312"/>
          <w:sz w:val="32"/>
          <w:szCs w:val="32"/>
          <w:lang w:eastAsia="zh-CN"/>
        </w:rPr>
      </w:pPr>
      <w:r>
        <w:rPr>
          <w:rFonts w:hint="eastAsia" w:ascii="仿宋_GB2312" w:hAnsi="仿宋" w:eastAsia="仿宋_GB2312"/>
          <w:b/>
          <w:bCs/>
          <w:color w:val="000000" w:themeColor="text1"/>
          <w:sz w:val="32"/>
          <w:szCs w:val="32"/>
          <w:lang w:val="en-US" w:eastAsia="zh-CN"/>
          <w14:textFill>
            <w14:solidFill>
              <w14:schemeClr w14:val="tx1"/>
            </w14:solidFill>
          </w14:textFill>
        </w:rPr>
        <w:t>5</w:t>
      </w:r>
      <w:r>
        <w:rPr>
          <w:rFonts w:hint="eastAsia" w:ascii="仿宋_GB2312" w:hAnsi="仿宋" w:eastAsia="仿宋_GB2312"/>
          <w:b/>
          <w:bCs/>
          <w:color w:val="000000" w:themeColor="text1"/>
          <w:sz w:val="32"/>
          <w:szCs w:val="32"/>
          <w14:textFill>
            <w14:solidFill>
              <w14:schemeClr w14:val="tx1"/>
            </w14:solidFill>
          </w14:textFill>
        </w:rPr>
        <w:t>.服务范围：</w:t>
      </w:r>
      <w:r>
        <w:rPr>
          <w:rFonts w:hint="eastAsia" w:ascii="仿宋_GB2312" w:hAnsi="等线 Light" w:eastAsia="仿宋_GB2312"/>
          <w:sz w:val="32"/>
          <w:szCs w:val="32"/>
        </w:rPr>
        <w:t>中介机构咨询服务、媒体宣传服务</w:t>
      </w:r>
      <w:r>
        <w:rPr>
          <w:rFonts w:hint="eastAsia" w:ascii="仿宋_GB2312" w:hAnsi="仿宋_GB2312" w:eastAsia="仿宋_GB2312" w:cs="仿宋_GB2312"/>
          <w:sz w:val="32"/>
          <w:szCs w:val="32"/>
          <w:lang w:eastAsia="zh-CN"/>
        </w:rPr>
        <w:t>。</w:t>
      </w:r>
    </w:p>
    <w:p w14:paraId="268DC5D5">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二、采购金额</w:t>
      </w:r>
    </w:p>
    <w:p w14:paraId="27EB3972">
      <w:pPr>
        <w:spacing w:line="55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仿宋_GB2312"/>
          <w:b/>
          <w:bCs/>
          <w:sz w:val="32"/>
          <w:szCs w:val="32"/>
        </w:rPr>
        <w:t>1.采购限价：</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6</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hAnsi="仿宋_GB2312" w:eastAsia="仿宋_GB2312" w:cs="仿宋_GB2312"/>
          <w:sz w:val="32"/>
          <w:szCs w:val="32"/>
        </w:rPr>
        <w:t>（含本数，含税费、运费、保险费等价外费），无交易平台费用、代理服务费。</w:t>
      </w:r>
    </w:p>
    <w:p w14:paraId="60718B67">
      <w:pPr>
        <w:spacing w:line="550" w:lineRule="exact"/>
        <w:ind w:firstLine="643" w:firstLineChars="200"/>
        <w:rPr>
          <w:rFonts w:hint="eastAsia" w:ascii="仿宋_GB2312" w:hAnsi="黑体" w:eastAsia="仿宋_GB2312" w:cs="仿宋_GB2312"/>
          <w:b/>
          <w:bCs/>
          <w:sz w:val="32"/>
          <w:szCs w:val="32"/>
        </w:rPr>
      </w:pPr>
      <w:r>
        <w:rPr>
          <w:rFonts w:hint="eastAsia" w:ascii="仿宋_GB2312" w:hAnsi="黑体" w:eastAsia="仿宋_GB2312" w:cs="仿宋_GB2312"/>
          <w:b/>
          <w:bCs/>
          <w:sz w:val="32"/>
          <w:szCs w:val="32"/>
        </w:rPr>
        <w:t>2.资金来源：</w:t>
      </w:r>
      <w:r>
        <w:rPr>
          <w:rFonts w:hint="eastAsia" w:ascii="仿宋_GB2312" w:hAnsi="仿宋_GB2312" w:eastAsia="仿宋_GB2312" w:cs="仿宋_GB2312"/>
          <w:sz w:val="32"/>
          <w:szCs w:val="32"/>
        </w:rPr>
        <w:t>企业自筹，资金已落实。</w:t>
      </w:r>
    </w:p>
    <w:p w14:paraId="0607A5AE">
      <w:pPr>
        <w:spacing w:line="550" w:lineRule="exact"/>
        <w:ind w:firstLine="643" w:firstLineChars="200"/>
        <w:rPr>
          <w:rFonts w:hint="eastAsia" w:ascii="仿宋_GB2312" w:hAnsi="仿宋_GB2312" w:eastAsia="仿宋_GB2312" w:cs="仿宋_GB2312"/>
          <w:sz w:val="32"/>
          <w:szCs w:val="32"/>
          <w:u w:val="single"/>
        </w:rPr>
      </w:pPr>
      <w:r>
        <w:rPr>
          <w:rFonts w:hint="eastAsia" w:ascii="仿宋_GB2312" w:hAnsi="黑体" w:eastAsia="仿宋_GB2312" w:cs="仿宋_GB2312"/>
          <w:b/>
          <w:bCs/>
          <w:sz w:val="32"/>
          <w:szCs w:val="32"/>
        </w:rPr>
        <w:t>3</w:t>
      </w:r>
      <w:r>
        <w:rPr>
          <w:rFonts w:ascii="仿宋_GB2312" w:hAnsi="黑体" w:eastAsia="仿宋_GB2312" w:cs="仿宋_GB2312"/>
          <w:b/>
          <w:bCs/>
          <w:sz w:val="32"/>
          <w:szCs w:val="32"/>
        </w:rPr>
        <w:t>.</w:t>
      </w:r>
      <w:r>
        <w:rPr>
          <w:rFonts w:hint="eastAsia" w:ascii="仿宋_GB2312" w:hAnsi="黑体" w:eastAsia="仿宋_GB2312" w:cs="仿宋_GB2312"/>
          <w:b/>
          <w:bCs/>
          <w:sz w:val="32"/>
          <w:szCs w:val="32"/>
        </w:rPr>
        <w:t>保 证 金：</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响应保证金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履约保证金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其它</w:t>
      </w:r>
      <w:r>
        <w:rPr>
          <w:rFonts w:hint="eastAsia" w:ascii="仿宋_GB2312" w:eastAsia="仿宋_GB2312" w:hAnsiTheme="majorEastAsia"/>
          <w:sz w:val="32"/>
          <w:szCs w:val="32"/>
          <w:u w:val="single"/>
        </w:rPr>
        <w:t xml:space="preserve">   </w:t>
      </w:r>
    </w:p>
    <w:p w14:paraId="6E6BC0D3">
      <w:pPr>
        <w:spacing w:line="550" w:lineRule="exact"/>
        <w:ind w:firstLine="643" w:firstLineChars="200"/>
        <w:rPr>
          <w:rFonts w:hint="eastAsia" w:ascii="仿宋_GB2312" w:eastAsia="仿宋_GB2312" w:hAnsiTheme="majorEastAsia"/>
          <w:sz w:val="32"/>
          <w:szCs w:val="32"/>
        </w:rPr>
      </w:pPr>
      <w:r>
        <w:rPr>
          <w:rFonts w:hint="eastAsia" w:ascii="仿宋_GB2312" w:hAnsi="仿宋_GB2312" w:eastAsia="仿宋_GB2312" w:cs="仿宋_GB2312"/>
          <w:b/>
          <w:bCs/>
          <w:sz w:val="32"/>
          <w:szCs w:val="32"/>
        </w:rPr>
        <w:t>4.报价方式：</w:t>
      </w:r>
      <w:r>
        <w:rPr>
          <w:rFonts w:hint="eastAsia" w:ascii="仿宋_GB2312" w:eastAsia="仿宋_GB2312" w:hAnsiTheme="majorEastAsia"/>
          <w:sz w:val="32"/>
          <w:szCs w:val="32"/>
        </w:rPr>
        <w:sym w:font="Wingdings 2" w:char="00A3"/>
      </w:r>
      <w:r>
        <w:rPr>
          <w:rFonts w:hint="eastAsia" w:ascii="仿宋_GB2312" w:hAnsi="仿宋_GB2312" w:eastAsia="仿宋_GB2312" w:cs="仿宋_GB2312"/>
          <w:sz w:val="32"/>
          <w:szCs w:val="32"/>
        </w:rPr>
        <w:t xml:space="preserve">总价包干   </w:t>
      </w:r>
      <w:r>
        <w:rPr>
          <w:rFonts w:hint="eastAsia" w:ascii="仿宋_GB2312" w:eastAsia="仿宋_GB2312" w:hAnsiTheme="majorEastAsia"/>
          <w:sz w:val="32"/>
          <w:szCs w:val="32"/>
        </w:rPr>
        <w:sym w:font="Wingdings 2" w:char="0052"/>
      </w:r>
      <w:r>
        <w:rPr>
          <w:rFonts w:hint="eastAsia" w:ascii="仿宋_GB2312" w:eastAsia="仿宋_GB2312" w:hAnsiTheme="majorEastAsia"/>
          <w:sz w:val="32"/>
          <w:szCs w:val="32"/>
        </w:rPr>
        <w:t xml:space="preserve">单价报价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综合报价 </w:t>
      </w:r>
    </w:p>
    <w:p w14:paraId="36D15CD5">
      <w:pPr>
        <w:spacing w:line="550" w:lineRule="exact"/>
        <w:ind w:firstLine="2560" w:firstLineChars="800"/>
        <w:rPr>
          <w:rFonts w:hint="eastAsia" w:ascii="仿宋_GB2312" w:hAnsi="仿宋_GB2312" w:eastAsia="仿宋_GB2312" w:cs="仿宋_GB2312"/>
          <w:sz w:val="32"/>
          <w:szCs w:val="32"/>
          <w:u w:val="single"/>
        </w:rPr>
      </w:pP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阶梯式报价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其它</w:t>
      </w:r>
      <w:r>
        <w:rPr>
          <w:rFonts w:hint="eastAsia" w:ascii="仿宋_GB2312" w:eastAsia="仿宋_GB2312" w:hAnsiTheme="majorEastAsia"/>
          <w:sz w:val="32"/>
          <w:szCs w:val="32"/>
          <w:u w:val="single"/>
        </w:rPr>
        <w:t xml:space="preserve">                </w:t>
      </w:r>
    </w:p>
    <w:p w14:paraId="7563BD98">
      <w:pPr>
        <w:spacing w:line="550" w:lineRule="exact"/>
        <w:ind w:firstLine="640" w:firstLineChars="200"/>
        <w:rPr>
          <w:rFonts w:hint="eastAsia" w:ascii="仿宋_GB2312" w:eastAsia="仿宋_GB2312" w:hAnsiTheme="majorEastAsia"/>
          <w:sz w:val="32"/>
          <w:szCs w:val="32"/>
        </w:rPr>
      </w:pPr>
      <w:r>
        <w:rPr>
          <w:rFonts w:hint="eastAsia" w:ascii="黑体" w:hAnsi="黑体" w:eastAsia="黑体" w:cs="仿宋_GB2312"/>
          <w:sz w:val="32"/>
          <w:szCs w:val="32"/>
        </w:rPr>
        <w:t>三、采购方式：</w:t>
      </w:r>
      <w:r>
        <w:rPr>
          <w:rFonts w:hint="eastAsia" w:ascii="仿宋_GB2312" w:eastAsia="仿宋_GB2312" w:hAnsiTheme="majorEastAsia"/>
          <w:sz w:val="32"/>
          <w:szCs w:val="32"/>
        </w:rPr>
        <w:sym w:font="Wingdings 2" w:char="00A3"/>
      </w:r>
      <w:r>
        <w:rPr>
          <w:rFonts w:hint="eastAsia" w:ascii="仿宋_GB2312" w:hAnsi="仿宋_GB2312" w:eastAsia="仿宋_GB2312" w:cs="仿宋_GB2312"/>
          <w:sz w:val="32"/>
          <w:szCs w:val="32"/>
        </w:rPr>
        <w:t xml:space="preserve">询价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竞价       </w:t>
      </w: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单一来源 </w:t>
      </w:r>
    </w:p>
    <w:p w14:paraId="0E6D6CFA">
      <w:pPr>
        <w:spacing w:line="550" w:lineRule="exact"/>
        <w:ind w:firstLine="2880" w:firstLineChars="900"/>
        <w:rPr>
          <w:rFonts w:hint="eastAsia" w:ascii="仿宋_GB2312" w:hAnsi="仿宋_GB2312" w:eastAsia="仿宋_GB2312" w:cs="仿宋_GB2312"/>
          <w:sz w:val="32"/>
          <w:szCs w:val="32"/>
        </w:rPr>
      </w:pPr>
      <w:r>
        <w:rPr>
          <w:rFonts w:hint="eastAsia" w:ascii="仿宋_GB2312" w:eastAsia="仿宋_GB2312" w:hAnsiTheme="majorEastAsia"/>
          <w:sz w:val="32"/>
          <w:szCs w:val="32"/>
        </w:rPr>
        <w:sym w:font="Wingdings 2" w:char="F0A3"/>
      </w:r>
      <w:r>
        <w:rPr>
          <w:rFonts w:hint="eastAsia" w:ascii="仿宋_GB2312" w:eastAsia="仿宋_GB2312" w:hAnsiTheme="majorEastAsia"/>
          <w:sz w:val="32"/>
          <w:szCs w:val="32"/>
        </w:rPr>
        <w:t xml:space="preserve">多源直接采购 </w:t>
      </w:r>
      <w:r>
        <w:rPr>
          <w:rFonts w:hint="eastAsia" w:ascii="仿宋_GB2312" w:eastAsia="仿宋_GB2312" w:hAnsiTheme="majorEastAsia"/>
          <w:sz w:val="32"/>
          <w:szCs w:val="32"/>
        </w:rPr>
        <w:sym w:font="Wingdings 2" w:char="0052"/>
      </w:r>
      <w:r>
        <w:rPr>
          <w:rFonts w:hint="eastAsia" w:ascii="仿宋_GB2312" w:eastAsia="仿宋_GB2312" w:hAnsiTheme="majorEastAsia"/>
          <w:sz w:val="32"/>
          <w:szCs w:val="32"/>
        </w:rPr>
        <w:t>竞争性谈判（磋商）</w:t>
      </w:r>
    </w:p>
    <w:p w14:paraId="724EA758">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四、供应商资格要求</w:t>
      </w:r>
    </w:p>
    <w:p w14:paraId="41C98FF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5663F05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具备合法有效的统一社会信用代码的营业执照；</w:t>
      </w:r>
      <w:r>
        <w:rPr>
          <w:rFonts w:hint="eastAsia" w:ascii="仿宋_GB2312" w:hAnsi="宋体" w:eastAsia="仿宋_GB2312"/>
          <w:sz w:val="32"/>
          <w:szCs w:val="32"/>
        </w:rPr>
        <w:t>具有独立法人资格或其他组织</w:t>
      </w:r>
      <w:r>
        <w:rPr>
          <w:rFonts w:ascii="仿宋_GB2312" w:hAnsi="宋体" w:eastAsia="仿宋_GB2312"/>
          <w:sz w:val="32"/>
          <w:szCs w:val="32"/>
        </w:rPr>
        <w:t xml:space="preserve"> </w:t>
      </w:r>
    </w:p>
    <w:p w14:paraId="4B7289F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2.具备履约的能力或设备。</w:t>
      </w:r>
    </w:p>
    <w:p w14:paraId="75A282D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没有被列入“信用中国”网站(www.creditchina.</w:t>
      </w:r>
      <w:r>
        <w:rPr>
          <w:rFonts w:hint="eastAsia" w:ascii="仿宋_GB2312" w:hAnsi="宋体" w:eastAsia="仿宋_GB2312"/>
          <w:sz w:val="32"/>
          <w:szCs w:val="32"/>
        </w:rPr>
        <w:t>gov.cn）的“失信被执行人”、“重大税收违法案件当时人名单”</w:t>
      </w:r>
      <w:r>
        <w:rPr>
          <w:rFonts w:hint="eastAsia" w:ascii="仿宋_GB2312" w:hAnsi="宋体" w:eastAsia="仿宋_GB2312"/>
          <w:sz w:val="32"/>
          <w:szCs w:val="32"/>
          <w:lang w:val="en-US" w:eastAsia="zh-CN"/>
        </w:rPr>
        <w:t>的情况</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没有被列入中国政府采购网（www.ccgp.gov.cn）</w:t>
      </w:r>
      <w:r>
        <w:rPr>
          <w:rFonts w:hint="eastAsia" w:ascii="仿宋_GB2312" w:hAnsi="宋体" w:eastAsia="仿宋_GB2312"/>
          <w:sz w:val="32"/>
          <w:szCs w:val="32"/>
        </w:rPr>
        <w:t>“政府采购严重违法失信行为记录名单”的情况，无严重违法失信记录。</w:t>
      </w:r>
    </w:p>
    <w:p w14:paraId="0C3FE69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（二）其他要求</w:t>
      </w:r>
    </w:p>
    <w:p w14:paraId="274FB8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1.本项目不接受联合体响应，不接受个人响应。</w:t>
      </w:r>
    </w:p>
    <w:p w14:paraId="2AD68D8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2.供应商不得将本项目转包或者分包。</w:t>
      </w:r>
    </w:p>
    <w:p w14:paraId="381B94A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3.单位负责人为同一个人或者存在直接控股、管理关系的不同供应商，不得参加本项目的采购活动。</w:t>
      </w:r>
    </w:p>
    <w:p w14:paraId="0C5E7E8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五、公告平台与期限</w:t>
      </w:r>
    </w:p>
    <w:p w14:paraId="7EAA8AAD">
      <w:pPr>
        <w:wordWrap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公告平台：</w:t>
      </w:r>
      <w:r>
        <w:rPr>
          <w:rFonts w:hint="eastAsia" w:ascii="仿宋_GB2312" w:hAnsi="仿宋_GB2312" w:eastAsia="仿宋_GB2312" w:cs="仿宋_GB2312"/>
          <w:sz w:val="32"/>
          <w:szCs w:val="32"/>
        </w:rPr>
        <w:t>深圳出版集团有限公司官网（</w:t>
      </w:r>
      <w:r>
        <w:rPr>
          <w:rFonts w:ascii="仿宋_GB2312" w:eastAsia="仿宋_GB2312" w:hAnsiTheme="majorEastAsia"/>
          <w:sz w:val="32"/>
          <w:szCs w:val="32"/>
        </w:rPr>
        <w:t>https://www.szcbfx.com/</w:t>
      </w:r>
      <w:r>
        <w:rPr>
          <w:rFonts w:hint="eastAsia" w:ascii="仿宋_GB2312" w:hAnsi="仿宋_GB2312" w:eastAsia="仿宋_GB2312" w:cs="仿宋_GB2312"/>
          <w:sz w:val="32"/>
          <w:szCs w:val="32"/>
        </w:rPr>
        <w:t>），深圳阳光采购平台（</w:t>
      </w:r>
      <w:r>
        <w:rPr>
          <w:rFonts w:hint="eastAsia" w:ascii="仿宋_GB2312" w:eastAsia="仿宋_GB2312" w:hAnsiTheme="majorEastAsia"/>
          <w:color w:val="000000" w:themeColor="text1"/>
          <w:sz w:val="32"/>
          <w:szCs w:val="32"/>
          <w14:textFill>
            <w14:solidFill>
              <w14:schemeClr w14:val="tx1"/>
            </w14:solidFill>
          </w14:textFill>
        </w:rPr>
        <w:t>https://www.szygcgpt.com/</w:t>
      </w:r>
      <w:r>
        <w:rPr>
          <w:rFonts w:hint="eastAsia" w:ascii="仿宋_GB2312" w:hAnsi="仿宋_GB2312" w:eastAsia="仿宋_GB2312" w:cs="仿宋_GB2312"/>
          <w:sz w:val="32"/>
          <w:szCs w:val="32"/>
        </w:rPr>
        <w:t>）</w:t>
      </w:r>
      <w:r>
        <w:rPr>
          <w:rFonts w:hint="eastAsia" w:ascii="仿宋_GB2312" w:eastAsia="仿宋_GB2312" w:hAnsiTheme="majorEastAsia"/>
          <w:color w:val="000000" w:themeColor="text1"/>
          <w:sz w:val="32"/>
          <w:szCs w:val="32"/>
          <w14:textFill>
            <w14:solidFill>
              <w14:schemeClr w14:val="tx1"/>
            </w14:solidFill>
          </w14:textFill>
        </w:rPr>
        <w:t>。</w:t>
      </w:r>
      <w:r>
        <w:rPr>
          <w:rFonts w:ascii="仿宋_GB2312" w:hAnsi="仿宋_GB2312" w:eastAsia="仿宋_GB2312" w:cs="仿宋_GB2312"/>
          <w:sz w:val="32"/>
          <w:szCs w:val="32"/>
        </w:rPr>
        <w:t xml:space="preserve"> </w:t>
      </w:r>
    </w:p>
    <w:p w14:paraId="44A01FD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2.公告期限：</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16" w:name="_GoBack"/>
      <w:bookmarkEnd w:id="16"/>
      <w:r>
        <w:rPr>
          <w:rFonts w:hint="eastAsia" w:ascii="仿宋_GB2312" w:hAnsi="仿宋_GB2312" w:eastAsia="仿宋_GB2312" w:cs="仿宋_GB2312"/>
          <w:sz w:val="32"/>
          <w:szCs w:val="32"/>
        </w:rPr>
        <w:t>日（以公告时间为准）</w:t>
      </w:r>
    </w:p>
    <w:p w14:paraId="5B3FB64B">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六、采购文件的获取</w:t>
      </w:r>
    </w:p>
    <w:p w14:paraId="36414B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1.获取时间：2025年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日00:00前，以公告时间为准。</w:t>
      </w:r>
    </w:p>
    <w:p w14:paraId="43EBCFAD">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获取方式：自行下载（免费）。</w:t>
      </w:r>
    </w:p>
    <w:p w14:paraId="0DFA02E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七、响应文件的递交</w:t>
      </w:r>
    </w:p>
    <w:p w14:paraId="4B4D2E3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1.递交时间：</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前，以公告时间为准。</w:t>
      </w:r>
    </w:p>
    <w:p w14:paraId="6AF27122">
      <w:pPr>
        <w:spacing w:line="560" w:lineRule="exact"/>
        <w:ind w:firstLine="643" w:firstLineChars="200"/>
        <w:rPr>
          <w:rFonts w:hint="eastAsia" w:ascii="仿宋_GB2312" w:eastAsia="仿宋_GB2312" w:hAnsiTheme="majorEastAsia"/>
          <w:sz w:val="32"/>
          <w:szCs w:val="32"/>
        </w:rPr>
      </w:pPr>
      <w:r>
        <w:rPr>
          <w:rFonts w:hint="eastAsia" w:ascii="仿宋_GB2312" w:hAnsi="仿宋_GB2312" w:eastAsia="仿宋_GB2312" w:cs="仿宋_GB2312"/>
          <w:b/>
          <w:bCs/>
          <w:sz w:val="32"/>
          <w:szCs w:val="32"/>
        </w:rPr>
        <w:t>2.递交方式：</w:t>
      </w:r>
      <w:r>
        <w:rPr>
          <w:rFonts w:hint="eastAsia" w:ascii="仿宋_GB2312" w:eastAsia="仿宋_GB2312" w:hAnsiTheme="majorEastAsia"/>
          <w:sz w:val="32"/>
          <w:szCs w:val="32"/>
        </w:rPr>
        <w:t>纸质文件，专人送达（可邮寄）。</w:t>
      </w:r>
    </w:p>
    <w:p w14:paraId="71EB02EF">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3.递交地点：</w:t>
      </w:r>
      <w:r>
        <w:rPr>
          <w:rFonts w:hint="eastAsia" w:ascii="仿宋_GB2312" w:hAnsi="仿宋_GB2312" w:eastAsia="仿宋_GB2312" w:cs="仿宋_GB2312"/>
          <w:sz w:val="32"/>
          <w:szCs w:val="32"/>
        </w:rPr>
        <w:t>深圳市福田区皇岗路深业上城B座2801号</w:t>
      </w:r>
      <w:r>
        <w:rPr>
          <w:rFonts w:hint="eastAsia" w:ascii="仿宋_GB2312" w:hAnsi="仿宋_GB2312" w:eastAsia="仿宋_GB2312" w:cs="仿宋_GB2312"/>
          <w:sz w:val="32"/>
          <w:szCs w:val="32"/>
          <w:lang w:val="en-US" w:eastAsia="zh-CN"/>
        </w:rPr>
        <w:t>营销中心</w:t>
      </w:r>
      <w:r>
        <w:rPr>
          <w:rFonts w:hint="eastAsia" w:ascii="仿宋_GB2312" w:hAnsi="仿宋_GB2312" w:eastAsia="仿宋_GB2312" w:cs="仿宋_GB2312"/>
          <w:sz w:val="32"/>
          <w:szCs w:val="32"/>
        </w:rPr>
        <w:t>。</w:t>
      </w:r>
    </w:p>
    <w:p w14:paraId="5BB6737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八、响应文件的开启</w:t>
      </w:r>
    </w:p>
    <w:p w14:paraId="01782740">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开启时间：</w:t>
      </w:r>
      <w:bookmarkStart w:id="1" w:name="_Hlk74151692"/>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themeColor="text1"/>
          <w:sz w:val="32"/>
          <w:szCs w:val="32"/>
          <w14:textFill>
            <w14:solidFill>
              <w14:schemeClr w14:val="tx1"/>
            </w14:solidFill>
          </w14:textFill>
        </w:rPr>
        <w:t>（暂定）</w:t>
      </w:r>
      <w:r>
        <w:rPr>
          <w:rFonts w:hint="eastAsia" w:ascii="仿宋_GB2312" w:hAnsi="仿宋_GB2312" w:eastAsia="仿宋_GB2312" w:cs="仿宋_GB2312"/>
          <w:sz w:val="32"/>
          <w:szCs w:val="32"/>
        </w:rPr>
        <w:t>。</w:t>
      </w:r>
    </w:p>
    <w:p w14:paraId="79866A42">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开启地点：</w:t>
      </w:r>
      <w:r>
        <w:rPr>
          <w:rFonts w:hint="eastAsia" w:ascii="仿宋_GB2312" w:hAnsi="仿宋_GB2312" w:eastAsia="仿宋_GB2312" w:cs="仿宋_GB2312"/>
          <w:sz w:val="32"/>
          <w:szCs w:val="32"/>
        </w:rPr>
        <w:t>深业上城B座2801号大会议室。</w:t>
      </w:r>
      <w:bookmarkEnd w:id="1"/>
    </w:p>
    <w:p w14:paraId="1F3935F9">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九、采购项目联系人信息</w:t>
      </w:r>
    </w:p>
    <w:p w14:paraId="70D864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联 系 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肖</w:t>
      </w:r>
      <w:r>
        <w:rPr>
          <w:rFonts w:hint="eastAsia" w:ascii="仿宋_GB2312" w:hAnsi="仿宋_GB2312" w:eastAsia="仿宋_GB2312" w:cs="仿宋_GB2312"/>
          <w:sz w:val="32"/>
          <w:szCs w:val="32"/>
        </w:rPr>
        <w:t>先生</w:t>
      </w:r>
    </w:p>
    <w:p w14:paraId="011C32EB">
      <w:pPr>
        <w:spacing w:line="560" w:lineRule="exact"/>
        <w:ind w:firstLine="640" w:firstLineChars="200"/>
        <w:rPr>
          <w:rFonts w:hint="default" w:ascii="宋体" w:hAnsi="宋体" w:eastAsia="仿宋_GB2312"/>
          <w:sz w:val="30"/>
          <w:szCs w:val="30"/>
          <w:lang w:val="en-US" w:eastAsia="zh-CN"/>
        </w:rPr>
      </w:pPr>
      <w:r>
        <w:rPr>
          <w:rFonts w:hint="eastAsia" w:ascii="仿宋_GB2312" w:hAnsi="仿宋_GB2312" w:eastAsia="仿宋_GB2312" w:cs="仿宋_GB2312"/>
          <w:sz w:val="32"/>
          <w:szCs w:val="32"/>
        </w:rPr>
        <w:t>2.联系电话：</w:t>
      </w:r>
      <w:r>
        <w:rPr>
          <w:rFonts w:hint="eastAsia" w:ascii="宋体" w:hAnsi="宋体" w:eastAsia="宋体"/>
          <w:sz w:val="30"/>
          <w:szCs w:val="30"/>
          <w:lang w:val="en-US" w:eastAsia="zh-CN"/>
        </w:rPr>
        <w:t>13600147474</w:t>
      </w:r>
    </w:p>
    <w:p w14:paraId="784464F2">
      <w:pPr>
        <w:spacing w:line="560" w:lineRule="exact"/>
        <w:ind w:firstLine="640" w:firstLineChars="200"/>
        <w:rPr>
          <w:color w:val="auto"/>
        </w:rPr>
      </w:pPr>
      <w:r>
        <w:rPr>
          <w:rFonts w:hint="eastAsia" w:ascii="仿宋_GB2312" w:hAnsi="仿宋_GB2312" w:eastAsia="仿宋_GB2312" w:cs="仿宋_GB2312"/>
          <w:sz w:val="32"/>
          <w:szCs w:val="32"/>
        </w:rPr>
        <w:t>3.联系地址：深圳市福田区皇岗路深业上城B座2801号</w:t>
      </w:r>
    </w:p>
    <w:p w14:paraId="031E489E">
      <w:pPr>
        <w:rPr>
          <w:color w:val="auto"/>
        </w:rPr>
      </w:pPr>
      <w:r>
        <w:rPr>
          <w:color w:val="auto"/>
        </w:rPr>
        <w:br w:type="page"/>
      </w:r>
    </w:p>
    <w:p w14:paraId="79B0C3E4">
      <w:pPr>
        <w:spacing w:line="560" w:lineRule="exact"/>
        <w:jc w:val="center"/>
        <w:outlineLvl w:val="0"/>
        <w:rPr>
          <w:rFonts w:hint="eastAsia" w:ascii="方正小标宋简体" w:hAnsi="宋体" w:eastAsia="方正小标宋简体"/>
          <w:sz w:val="44"/>
          <w:szCs w:val="44"/>
        </w:rPr>
      </w:pPr>
      <w:bookmarkStart w:id="2" w:name="_Toc194519094"/>
      <w:r>
        <w:rPr>
          <w:rFonts w:hint="eastAsia" w:ascii="方正小标宋简体" w:hAnsi="宋体" w:eastAsia="方正小标宋简体"/>
          <w:sz w:val="44"/>
          <w:szCs w:val="44"/>
        </w:rPr>
        <w:t>第二章 采购文件</w:t>
      </w:r>
      <w:bookmarkEnd w:id="2"/>
    </w:p>
    <w:p w14:paraId="0D57EF14">
      <w:pPr>
        <w:spacing w:line="560" w:lineRule="exact"/>
        <w:rPr>
          <w:rFonts w:hint="eastAsia" w:ascii="宋体" w:hAnsi="宋体" w:eastAsia="宋体"/>
          <w:sz w:val="28"/>
          <w:szCs w:val="28"/>
        </w:rPr>
      </w:pPr>
    </w:p>
    <w:p w14:paraId="017B7F74">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一、采购文件的组成</w:t>
      </w:r>
    </w:p>
    <w:p w14:paraId="79D526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0135163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二、采购文件的澄清或修改</w:t>
      </w:r>
    </w:p>
    <w:p w14:paraId="6CA302E4">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（一）采购文件的澄清</w:t>
      </w:r>
    </w:p>
    <w:p w14:paraId="44B2D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1.供应商对采购文件如有疑问或认为有必要与采购人进行澄清的，可用书面或邮件的形式告知项目联系人，但告知不得迟于开启响应文件日期前1天。</w:t>
      </w:r>
    </w:p>
    <w:p w14:paraId="1B2682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2.采购人应及时作出答复，如认为有必要，可将采购文件的澄清在递交响应文件截止之日前以书面形式发给已经取得同一采购文件的所有供应商，但不指明澄清问题的来源。</w:t>
      </w:r>
    </w:p>
    <w:p w14:paraId="2F63A65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（二）采购文件的修改</w:t>
      </w:r>
    </w:p>
    <w:p w14:paraId="1CF123C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1.采购人有权对已发出的采购文件进行必要的修改或撤销。采购文件的修改文件是采购文件的组成部分。</w:t>
      </w:r>
    </w:p>
    <w:p w14:paraId="69F78B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2.在递交响应文件截止之日1日前，采购人可以书面形式修改采购文件，修改文件将在采购信息发布平台上进行公告。</w:t>
      </w:r>
    </w:p>
    <w:p w14:paraId="3C248788">
      <w:pPr>
        <w:spacing w:line="560" w:lineRule="exact"/>
        <w:ind w:firstLine="640" w:firstLineChars="200"/>
        <w:rPr>
          <w:rFonts w:ascii="黑体" w:hAnsi="黑体" w:eastAsia="黑体" w:cs="仿宋_GB2312"/>
          <w:color w:val="auto"/>
          <w:sz w:val="32"/>
          <w:szCs w:val="32"/>
        </w:rPr>
      </w:pPr>
      <w:r>
        <w:rPr>
          <w:rFonts w:hint="eastAsia" w:ascii="楷体_GB2312" w:hAnsi="仿宋_GB2312" w:eastAsia="楷体_GB2312" w:cs="仿宋_GB2312"/>
          <w:sz w:val="32"/>
          <w:szCs w:val="32"/>
        </w:rPr>
        <w:t>（三）本采购文件的解释权归采购人。</w:t>
      </w:r>
      <w:r>
        <w:rPr>
          <w:rFonts w:hint="eastAsia" w:ascii="仿宋_GB2312" w:hAnsi="仿宋_GB2312" w:eastAsia="仿宋_GB2312" w:cs="仿宋_GB2312"/>
          <w:sz w:val="32"/>
          <w:szCs w:val="32"/>
        </w:rPr>
        <w:t>供应商对采购人提供的采购文件所做出的推论、解释和结论，采购人概不负责。供应商未成交的原因，采购人没有义务解释。</w:t>
      </w:r>
    </w:p>
    <w:p w14:paraId="60DB5F57">
      <w:pPr>
        <w:widowControl/>
        <w:jc w:val="left"/>
        <w:rPr>
          <w:color w:val="auto"/>
        </w:rPr>
      </w:pPr>
      <w:r>
        <w:rPr>
          <w:color w:val="auto"/>
        </w:rPr>
        <w:br w:type="page"/>
      </w:r>
    </w:p>
    <w:p w14:paraId="437F6F82">
      <w:pPr>
        <w:spacing w:line="560" w:lineRule="exact"/>
        <w:jc w:val="center"/>
        <w:outlineLvl w:val="0"/>
        <w:rPr>
          <w:rFonts w:hint="eastAsia" w:ascii="方正小标宋简体" w:hAnsi="仿宋_GB2312" w:eastAsia="方正小标宋简体" w:cs="仿宋_GB2312"/>
          <w:sz w:val="40"/>
          <w:szCs w:val="40"/>
        </w:rPr>
      </w:pPr>
      <w:bookmarkStart w:id="3" w:name="_Toc194519095"/>
      <w:r>
        <w:rPr>
          <w:rFonts w:hint="eastAsia" w:ascii="方正小标宋简体" w:hAnsi="仿宋_GB2312" w:eastAsia="方正小标宋简体" w:cs="仿宋_GB2312"/>
          <w:sz w:val="40"/>
          <w:szCs w:val="40"/>
        </w:rPr>
        <w:t>第三章 响应文件</w:t>
      </w:r>
      <w:bookmarkEnd w:id="3"/>
    </w:p>
    <w:p w14:paraId="0AE5A0BA">
      <w:pPr>
        <w:spacing w:line="560" w:lineRule="exact"/>
        <w:rPr>
          <w:rFonts w:hint="eastAsia" w:ascii="仿宋_GB2312" w:hAnsi="仿宋_GB2312" w:eastAsia="仿宋_GB2312" w:cs="仿宋_GB2312"/>
          <w:sz w:val="32"/>
          <w:szCs w:val="32"/>
        </w:rPr>
      </w:pPr>
    </w:p>
    <w:p w14:paraId="5A635BC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一、响应文件的组成</w:t>
      </w:r>
    </w:p>
    <w:p w14:paraId="151122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响应文件由</w:t>
      </w:r>
      <w:r>
        <w:rPr>
          <w:rFonts w:hint="eastAsia" w:ascii="仿宋_GB2312" w:hAnsi="仿宋_GB2312" w:eastAsia="仿宋_GB2312" w:cs="仿宋_GB2312"/>
          <w:b/>
          <w:bCs/>
          <w:sz w:val="32"/>
          <w:szCs w:val="32"/>
        </w:rPr>
        <w:t>报价文件、资格证明文件、评审文件</w:t>
      </w:r>
      <w:r>
        <w:rPr>
          <w:rFonts w:hint="eastAsia" w:ascii="仿宋_GB2312" w:hAnsi="仿宋_GB2312" w:eastAsia="仿宋_GB2312" w:cs="仿宋_GB2312"/>
          <w:sz w:val="32"/>
          <w:szCs w:val="32"/>
        </w:rPr>
        <w:t>组成。</w:t>
      </w:r>
    </w:p>
    <w:p w14:paraId="09E81F76">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（一）报价文件（盖公章）：</w:t>
      </w:r>
      <w:r>
        <w:rPr>
          <w:rFonts w:hint="eastAsia" w:ascii="仿宋_GB2312" w:hAnsi="仿宋_GB2312" w:eastAsia="仿宋_GB2312" w:cs="仿宋_GB2312"/>
          <w:sz w:val="32"/>
          <w:szCs w:val="32"/>
        </w:rPr>
        <w:t>报价表，可参考附件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0D5C8265">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（二）资格证明文件（盖公章）</w:t>
      </w:r>
    </w:p>
    <w:p w14:paraId="06C31811">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1.</w:t>
      </w:r>
      <w:r>
        <w:rPr>
          <w:rFonts w:hint="eastAsia" w:ascii="仿宋_GB2312" w:hAnsi="仿宋_GB2312" w:eastAsia="仿宋_GB2312" w:cs="仿宋_GB2312"/>
          <w:sz w:val="32"/>
          <w:szCs w:val="32"/>
        </w:rPr>
        <w:t>响应函，可参考附件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057EE992">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2.</w:t>
      </w:r>
      <w:r>
        <w:rPr>
          <w:rFonts w:hint="eastAsia" w:ascii="仿宋_GB2312" w:hAnsi="仿宋_GB2312" w:eastAsia="仿宋_GB2312" w:cs="仿宋_GB2312"/>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063A1E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3.供应商基本情况表（附件5），加盖公章。</w:t>
      </w:r>
    </w:p>
    <w:p w14:paraId="2E551F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4.一般资格要求证明文件：营业执照副本或登记证书等证明文件复印件加盖公章；</w:t>
      </w:r>
    </w:p>
    <w:p w14:paraId="58DAE6B2">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5.信用证明文件：“信用中国”网站www.creditchina.gov.cn及中国政府采购网http://www.ccgp.gov.cn/ 查询结果截图打印页，加盖公章；</w:t>
      </w:r>
    </w:p>
    <w:p w14:paraId="6F0C05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（三）其他文件</w:t>
      </w:r>
    </w:p>
    <w:p w14:paraId="011A5531">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1.提供同类型文化类案例2个（附合同副本）、提供阅读量超过</w:t>
      </w:r>
      <w:r>
        <w:rPr>
          <w:rFonts w:hint="eastAsia" w:ascii="仿宋_GB2312" w:hAnsi="宋体" w:eastAsia="仿宋_GB2312"/>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万以上的推文3个（</w:t>
      </w:r>
      <w:r>
        <w:rPr>
          <w:rFonts w:hint="eastAsia" w:ascii="仿宋_GB2312" w:hAnsi="宋体" w:eastAsia="仿宋_GB2312"/>
          <w:color w:val="000000" w:themeColor="text1"/>
          <w:sz w:val="32"/>
          <w:szCs w:val="32"/>
          <w:lang w:val="en-US" w:eastAsia="zh-CN"/>
          <w14:textFill>
            <w14:solidFill>
              <w14:schemeClr w14:val="tx1"/>
            </w14:solidFill>
          </w14:textFill>
        </w:rPr>
        <w:t>以Word文档形式</w:t>
      </w:r>
      <w:r>
        <w:rPr>
          <w:rFonts w:hint="eastAsia" w:ascii="仿宋_GB2312" w:hAnsi="宋体" w:eastAsia="仿宋_GB2312"/>
          <w:color w:val="000000" w:themeColor="text1"/>
          <w:sz w:val="32"/>
          <w:szCs w:val="32"/>
          <w14:textFill>
            <w14:solidFill>
              <w14:schemeClr w14:val="tx1"/>
            </w14:solidFill>
          </w14:textFill>
        </w:rPr>
        <w:t>附</w:t>
      </w:r>
      <w:r>
        <w:rPr>
          <w:rFonts w:hint="eastAsia" w:ascii="仿宋_GB2312" w:hAnsi="宋体" w:eastAsia="仿宋_GB2312"/>
          <w:color w:val="000000" w:themeColor="text1"/>
          <w:sz w:val="32"/>
          <w:szCs w:val="32"/>
          <w:lang w:val="en-US" w:eastAsia="zh-CN"/>
          <w14:textFill>
            <w14:solidFill>
              <w14:schemeClr w14:val="tx1"/>
            </w14:solidFill>
          </w14:textFill>
        </w:rPr>
        <w:t>推文链链接，提供U盘</w:t>
      </w:r>
      <w:r>
        <w:rPr>
          <w:rFonts w:hint="eastAsia" w:ascii="仿宋_GB2312" w:hAnsi="宋体" w:eastAsia="仿宋_GB2312"/>
          <w:color w:val="000000" w:themeColor="text1"/>
          <w:sz w:val="32"/>
          <w:szCs w:val="32"/>
          <w14:textFill>
            <w14:solidFill>
              <w14:schemeClr w14:val="tx1"/>
            </w14:solidFill>
          </w14:textFill>
        </w:rPr>
        <w:t>）、服务小组团队信息（附劳动关系单位和社保缴纳单位）</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等线 Light" w:eastAsia="仿宋_GB2312"/>
          <w:sz w:val="32"/>
          <w:szCs w:val="32"/>
          <w:lang w:val="en-US" w:eastAsia="zh-CN"/>
        </w:rPr>
        <w:t>微信公众号账号与所属供应商的关系证明（附认证页面截图）</w:t>
      </w:r>
      <w:r>
        <w:rPr>
          <w:rFonts w:hint="eastAsia" w:ascii="仿宋_GB2312" w:hAnsi="宋体" w:eastAsia="仿宋_GB2312"/>
          <w:color w:val="000000" w:themeColor="text1"/>
          <w:sz w:val="32"/>
          <w:szCs w:val="32"/>
          <w14:textFill>
            <w14:solidFill>
              <w14:schemeClr w14:val="tx1"/>
            </w14:solidFill>
          </w14:textFill>
        </w:rPr>
        <w:t>。</w:t>
      </w:r>
    </w:p>
    <w:p w14:paraId="10AD779C">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2.提供响应方案。</w:t>
      </w:r>
    </w:p>
    <w:p w14:paraId="2BB511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供应商在评审过程中作出的符合采购文件要求的澄清、说明和补正，均为响应文件的组成部分。</w:t>
      </w:r>
    </w:p>
    <w:p w14:paraId="5C7AAEE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二、响应文件的编制</w:t>
      </w:r>
    </w:p>
    <w:p w14:paraId="69941A5F">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（一）响应文件按照以下格式和顺序进行编排</w:t>
      </w:r>
    </w:p>
    <w:p w14:paraId="71C49B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1.响应文件双面打印，装订成一册，A4纸幅。</w:t>
      </w:r>
    </w:p>
    <w:p w14:paraId="1E8F95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2.响应文件须有详细目录，并编上页码，非电子文档（各种资质、合同等的复印件）可以手工填写统一的页码。</w:t>
      </w:r>
    </w:p>
    <w:p w14:paraId="64A1BF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3.响应文件编排顺序：报价文件-资格证明文件-符合性审查文件-评审文件</w:t>
      </w:r>
    </w:p>
    <w:p w14:paraId="055DF1B4">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（二）响应文件应分别准备1份正本和</w:t>
      </w:r>
      <w:r>
        <w:rPr>
          <w:rFonts w:hint="eastAsia" w:ascii="楷体_GB2312" w:hAnsi="仿宋_GB2312" w:eastAsia="楷体_GB2312" w:cs="仿宋_GB2312"/>
          <w:sz w:val="32"/>
          <w:szCs w:val="32"/>
          <w:lang w:val="en-US" w:eastAsia="zh-CN"/>
        </w:rPr>
        <w:t>4</w:t>
      </w:r>
      <w:r>
        <w:rPr>
          <w:rFonts w:hint="eastAsia" w:ascii="楷体_GB2312" w:hAnsi="仿宋_GB2312" w:eastAsia="楷体_GB2312" w:cs="仿宋_GB2312"/>
          <w:sz w:val="32"/>
          <w:szCs w:val="32"/>
        </w:rPr>
        <w:t>份副本</w:t>
      </w:r>
    </w:p>
    <w:p w14:paraId="000E29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3A4808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 同时注明项目名称、供应商名称、日期并加盖公章。</w:t>
      </w:r>
    </w:p>
    <w:p w14:paraId="7877D0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27915CF4">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0EA7BD75">
      <w:pPr>
        <w:pStyle w:val="17"/>
        <w:numPr>
          <w:ilvl w:val="0"/>
          <w:numId w:val="1"/>
        </w:numPr>
        <w:spacing w:line="560" w:lineRule="exact"/>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密封处应标注以下内容并加盖骑缝章：</w:t>
      </w:r>
    </w:p>
    <w:p w14:paraId="541BE98D">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文件名称：2025年全国新书首发中心活动中介机构咨询服务及媒体宣传服务采购项目响应文件</w:t>
      </w:r>
    </w:p>
    <w:p w14:paraId="4DDB9A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采购人名称：深圳书城文化（集团）有限公司</w:t>
      </w:r>
    </w:p>
    <w:p w14:paraId="7CD4E0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供应商名称：********</w:t>
      </w:r>
    </w:p>
    <w:p w14:paraId="3D6E8E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sz w:val="32"/>
          <w:szCs w:val="32"/>
        </w:rPr>
        <w:t>前不得开启响应文件”</w:t>
      </w:r>
    </w:p>
    <w:p w14:paraId="5552168A">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w:t>
      </w:r>
      <w:r>
        <w:rPr>
          <w:rFonts w:hint="eastAsia" w:ascii="仿宋_GB2312" w:hAnsi="仿宋_GB2312" w:eastAsia="仿宋_GB2312" w:cs="仿宋_GB2312"/>
          <w:sz w:val="32"/>
          <w:szCs w:val="32"/>
        </w:rPr>
        <w:t>供应商递交的响应文件以及供应商与采购人就采购事项的所有来往函电均应使用中文书写。对于任何非中文的资料，都应提供中文翻译本，在解释时以翻译本为准。</w:t>
      </w:r>
    </w:p>
    <w:p w14:paraId="49378812">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w:t>
      </w:r>
      <w:r>
        <w:rPr>
          <w:rFonts w:hint="eastAsia" w:ascii="仿宋_GB2312" w:hAnsi="仿宋_GB2312" w:eastAsia="仿宋_GB2312" w:cs="仿宋_GB2312"/>
          <w:sz w:val="32"/>
          <w:szCs w:val="32"/>
        </w:rPr>
        <w:t>采购文件应尽量避免涂改、行间插字或删除。如果出现上述情况，改动之处应加盖单位公章或由供应商法定代表人（或授权委托的代理人）签字确认。</w:t>
      </w:r>
    </w:p>
    <w:p w14:paraId="726BEF81">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三、响应文件的递交其它要求</w:t>
      </w:r>
    </w:p>
    <w:p w14:paraId="0DD993CC">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送达要求：</w:t>
      </w:r>
      <w:r>
        <w:rPr>
          <w:rFonts w:hint="eastAsia" w:ascii="仿宋_GB2312" w:hAnsi="仿宋_GB2312" w:eastAsia="仿宋_GB2312" w:cs="仿宋_GB2312"/>
          <w:sz w:val="32"/>
          <w:szCs w:val="32"/>
        </w:rPr>
        <w:t>项目联系人将在采购文件规定的时间和地点接收响应文件，送达人应在响应文件密封件上签名、记录送达时间及其他情况，检查各响应文件的密封情况并签收按照采购文件要求密封的响应文件。</w:t>
      </w:r>
    </w:p>
    <w:p w14:paraId="17ADC30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有效期：</w:t>
      </w:r>
      <w:r>
        <w:rPr>
          <w:rFonts w:hint="eastAsia" w:ascii="仿宋_GB2312" w:hAnsi="仿宋_GB2312" w:eastAsia="仿宋_GB2312" w:cs="仿宋_GB2312"/>
          <w:sz w:val="32"/>
          <w:szCs w:val="32"/>
        </w:rPr>
        <w:t>自递交响应文件截止之日起</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个自然日，供应商不得要求撤销或修改其响应文件。出现特殊情况需要延长响应文件有效期的，采购人以书面形式通知所有供应商延长响应文件有效期，供应商应予以书面答复。供应商未予答复或拒绝延长的，其响应文件在原有效期届满后失效。</w:t>
      </w:r>
    </w:p>
    <w:p w14:paraId="00208359">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响应文件的修改、补充或撤回：</w:t>
      </w:r>
      <w:r>
        <w:rPr>
          <w:rFonts w:hint="eastAsia" w:ascii="仿宋_GB2312" w:hAnsi="仿宋_GB2312" w:eastAsia="仿宋_GB2312" w:cs="仿宋_GB2312"/>
          <w:sz w:val="32"/>
          <w:szCs w:val="32"/>
        </w:rPr>
        <w:t>在响应文件递交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151FF99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sz w:val="32"/>
          <w:szCs w:val="32"/>
        </w:rPr>
        <w:t>逾期送达、未送达指定地点或未密封的响应文件，采购人将拒绝接收；响应时间截止后，供应商所递交的响应文件采购，采购人将不予归还；响应文件以快递形式送达的，响应截止时间以快递寄出时间为准，寄出时间超过截止时间的视为无效效应。</w:t>
      </w:r>
    </w:p>
    <w:p w14:paraId="26606BF4">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四、其他说明</w:t>
      </w:r>
    </w:p>
    <w:p w14:paraId="5C1A44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备选响应方案：</w:t>
      </w:r>
      <w:r>
        <w:rPr>
          <w:rFonts w:hint="eastAsia" w:ascii="仿宋_GB2312" w:hAnsi="仿宋_GB2312" w:eastAsia="仿宋_GB2312" w:cs="仿宋_GB2312"/>
          <w:sz w:val="32"/>
          <w:szCs w:val="32"/>
        </w:rPr>
        <w:t>供应商不得递交备选响应方案。</w:t>
      </w:r>
    </w:p>
    <w:p w14:paraId="76C9CD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实质性内容响应：</w:t>
      </w:r>
      <w:r>
        <w:rPr>
          <w:rFonts w:hint="eastAsia" w:ascii="仿宋_GB2312" w:hAnsi="仿宋_GB2312" w:eastAsia="仿宋_GB2312" w:cs="仿宋_GB2312"/>
          <w:sz w:val="32"/>
          <w:szCs w:val="32"/>
        </w:rPr>
        <w:t>响应文件应当对采购文件中有关</w:t>
      </w:r>
      <w:r>
        <w:rPr>
          <w:rFonts w:hint="eastAsia" w:ascii="仿宋_GB2312" w:hAnsi="仿宋_GB2312" w:eastAsia="仿宋_GB2312" w:cs="仿宋_GB2312"/>
          <w:b/>
          <w:bCs/>
          <w:color w:val="000000" w:themeColor="text1"/>
          <w:sz w:val="32"/>
          <w:szCs w:val="32"/>
          <w14:textFill>
            <w14:solidFill>
              <w14:schemeClr w14:val="tx1"/>
            </w14:solidFill>
          </w14:textFill>
        </w:rPr>
        <w:t>报价、质量要求、技术标准和要求、工程保修期等实质性内容</w:t>
      </w:r>
      <w:r>
        <w:rPr>
          <w:rFonts w:hint="eastAsia" w:ascii="仿宋_GB2312" w:hAnsi="仿宋_GB2312" w:eastAsia="仿宋_GB2312" w:cs="仿宋_GB2312"/>
          <w:color w:val="000000" w:themeColor="text1"/>
          <w:sz w:val="32"/>
          <w:szCs w:val="32"/>
          <w14:textFill>
            <w14:solidFill>
              <w14:schemeClr w14:val="tx1"/>
            </w14:solidFill>
          </w14:textFill>
        </w:rPr>
        <w:t>作出响应。</w:t>
      </w:r>
    </w:p>
    <w:p w14:paraId="15FDBA1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特殊情况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6EC67D37">
      <w:pPr>
        <w:rPr>
          <w:color w:val="auto"/>
        </w:rPr>
      </w:pPr>
    </w:p>
    <w:p w14:paraId="544CB31C">
      <w:pPr>
        <w:widowControl/>
        <w:jc w:val="left"/>
        <w:rPr>
          <w:color w:val="auto"/>
        </w:rPr>
      </w:pPr>
      <w:r>
        <w:rPr>
          <w:color w:val="auto"/>
        </w:rPr>
        <w:br w:type="page"/>
      </w:r>
    </w:p>
    <w:p w14:paraId="3207D15F">
      <w:pPr>
        <w:spacing w:line="560" w:lineRule="exact"/>
        <w:jc w:val="center"/>
        <w:outlineLvl w:val="0"/>
        <w:rPr>
          <w:rFonts w:hint="eastAsia" w:ascii="方正小标宋简体" w:hAnsi="仿宋_GB2312" w:eastAsia="方正小标宋简体" w:cs="仿宋_GB2312"/>
          <w:sz w:val="44"/>
          <w:szCs w:val="44"/>
        </w:rPr>
      </w:pPr>
      <w:bookmarkStart w:id="4" w:name="_Toc194519096"/>
      <w:bookmarkStart w:id="5" w:name="_Toc165400063"/>
      <w:bookmarkStart w:id="6" w:name="_Toc157678618"/>
      <w:r>
        <w:rPr>
          <w:rFonts w:hint="eastAsia" w:ascii="方正小标宋简体" w:hAnsi="仿宋_GB2312" w:eastAsia="方正小标宋简体" w:cs="仿宋_GB2312"/>
          <w:sz w:val="44"/>
          <w:szCs w:val="44"/>
        </w:rPr>
        <w:t>第四章 响应文件开启和评审</w:t>
      </w:r>
      <w:bookmarkEnd w:id="4"/>
    </w:p>
    <w:p w14:paraId="70F7FFC0">
      <w:pPr>
        <w:spacing w:line="560" w:lineRule="exact"/>
        <w:rPr>
          <w:rFonts w:hint="eastAsia" w:ascii="仿宋_GB2312" w:hAnsi="仿宋_GB2312" w:eastAsia="仿宋_GB2312" w:cs="仿宋_GB2312"/>
          <w:sz w:val="32"/>
          <w:szCs w:val="32"/>
        </w:rPr>
      </w:pPr>
    </w:p>
    <w:p w14:paraId="751B6B9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一、响应文件开启</w:t>
      </w:r>
    </w:p>
    <w:p w14:paraId="293073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1.采购人在采购文件预先确定的时间、地点开启响应文件。</w:t>
      </w:r>
    </w:p>
    <w:p w14:paraId="165917A7">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2.采购人工作人员主持开启响应文件会议，开启程序如下：</w:t>
      </w:r>
    </w:p>
    <w:p w14:paraId="72ED30F0">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（1）宣布开启会议开始；</w:t>
      </w:r>
    </w:p>
    <w:p w14:paraId="107B6E23">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（2）检查确认响应文件的密封情况；</w:t>
      </w:r>
    </w:p>
    <w:p w14:paraId="6A3CED6F">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（3）工作人员按顺序开启响应文件，</w:t>
      </w:r>
      <w:bookmarkStart w:id="7" w:name="_Hlk74932092"/>
      <w:r>
        <w:rPr>
          <w:rFonts w:hint="eastAsia" w:ascii="仿宋_GB2312" w:hAnsi="宋体" w:eastAsia="仿宋_GB2312"/>
          <w:sz w:val="32"/>
          <w:szCs w:val="24"/>
        </w:rPr>
        <w:t>现场宣读并记录供应商名称、响应价格以及响应文件规定的其他内容</w:t>
      </w:r>
      <w:bookmarkEnd w:id="7"/>
      <w:r>
        <w:rPr>
          <w:rFonts w:hint="eastAsia" w:ascii="仿宋_GB2312" w:hAnsi="宋体" w:eastAsia="仿宋_GB2312"/>
          <w:sz w:val="32"/>
          <w:szCs w:val="24"/>
        </w:rPr>
        <w:t>，所有参与开启响应文件人员签字确认；</w:t>
      </w:r>
    </w:p>
    <w:p w14:paraId="3E6DA86C">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（4）宣布有关注意事项；</w:t>
      </w:r>
    </w:p>
    <w:p w14:paraId="2FE59A31">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（5）开启会议结束。</w:t>
      </w:r>
    </w:p>
    <w:p w14:paraId="6E27F81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二、评审小组</w:t>
      </w:r>
    </w:p>
    <w:p w14:paraId="0E6546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szCs w:val="24"/>
        </w:rPr>
        <w:t>采购人组建</w:t>
      </w:r>
      <w:r>
        <w:rPr>
          <w:rFonts w:hint="eastAsia" w:ascii="仿宋_GB2312" w:hAnsi="宋体" w:eastAsia="仿宋_GB2312"/>
          <w:sz w:val="32"/>
          <w:szCs w:val="24"/>
          <w:u w:val="single"/>
          <w:lang w:val="en-US" w:eastAsia="zh-CN"/>
        </w:rPr>
        <w:t>5</w:t>
      </w:r>
      <w:r>
        <w:rPr>
          <w:rFonts w:hint="eastAsia" w:ascii="仿宋_GB2312" w:hAnsi="宋体" w:eastAsia="仿宋_GB2312"/>
          <w:sz w:val="32"/>
          <w:szCs w:val="24"/>
        </w:rPr>
        <w:t>人评审小组负责本项目评审</w:t>
      </w:r>
      <w:r>
        <w:rPr>
          <w:rFonts w:hint="eastAsia" w:ascii="仿宋_GB2312" w:hAnsi="仿宋_GB2312" w:eastAsia="仿宋_GB2312" w:cs="仿宋_GB2312"/>
          <w:sz w:val="32"/>
          <w:szCs w:val="32"/>
        </w:rPr>
        <w:t>。</w:t>
      </w:r>
    </w:p>
    <w:p w14:paraId="5E4C77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2.评审小组应当按照采购文件规定的评审方法、标准和程序对响应文件独立评审。</w:t>
      </w:r>
    </w:p>
    <w:p w14:paraId="368AAB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3.评审小组成员有下列情形之一的，应当回避：</w:t>
      </w:r>
    </w:p>
    <w:p w14:paraId="639838F4">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（1）参与评审前采购商务联络工作的人员；</w:t>
      </w:r>
    </w:p>
    <w:p w14:paraId="61CDD609">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（2）供应商的负责人的近亲属；</w:t>
      </w:r>
    </w:p>
    <w:p w14:paraId="3098F89A">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（3）与供应商有经济利益关系，有可能影响公正评审的；</w:t>
      </w:r>
    </w:p>
    <w:p w14:paraId="778603E8">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（4）曾因采购相关活动受过纪律处分仍在影响期的；</w:t>
      </w:r>
    </w:p>
    <w:p w14:paraId="6B50E4EC">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（5）曾在招标、评标、定标及其他采购相关活动中受过行政处罚或刑事处罚等不良记录的；</w:t>
      </w:r>
    </w:p>
    <w:p w14:paraId="196B2580">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（6）其他不适宜担任评审人员的。</w:t>
      </w:r>
    </w:p>
    <w:p w14:paraId="7A477CF1">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三、评审程序</w:t>
      </w:r>
    </w:p>
    <w:p w14:paraId="185DB6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递交响应文件的供应商有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家以上（含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家）即可进入评审程序。</w:t>
      </w:r>
    </w:p>
    <w:p w14:paraId="6FBB26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（一）评审流程</w:t>
      </w:r>
    </w:p>
    <w:p w14:paraId="23912A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现场工作人员主持并宣布评审会议开始。</w:t>
      </w:r>
    </w:p>
    <w:p w14:paraId="1323E1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监督人员宣读评审要求。</w:t>
      </w:r>
    </w:p>
    <w:p w14:paraId="46A50D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3.现场工作人员向评审小组介绍项目情况，包括但不限于采购需求、采购限价、供应商资格要求、供应商响应情况、评审流程、评审标准。</w:t>
      </w:r>
    </w:p>
    <w:p w14:paraId="627D7C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评审小组成员共同推选或由采购人指定评审小组组长，评审小组组长负责组织评审工作。</w:t>
      </w:r>
    </w:p>
    <w:p w14:paraId="0327A1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评审小组成员抽签定供应商（如有）评审/沟通顺序，工作人员向评审小组分别展示各响应文件的密封和送达情况。</w:t>
      </w:r>
    </w:p>
    <w:p w14:paraId="225C23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供应商代表进场（如有），工作人员按照抽签顺序开启响应文件，宣读供应商名称以及响应报价并记录在案，评审小组及相关工作人员等在响应文件开启记录上签字确认，供应商代表退场。</w:t>
      </w:r>
    </w:p>
    <w:p w14:paraId="43CFD8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评审小组按资格审查、符合性审查、评审阶段的步骤进行评审。</w:t>
      </w:r>
    </w:p>
    <w:p w14:paraId="17BAC8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在评审过程中，评审小组成员对需要共同认定的事项存在争议的，将按照少数服从多数的原则得出结论，持不同意见的评审小组成员应在评审报告上签署不同意见及理由，否则视为同意评审报告。</w:t>
      </w:r>
    </w:p>
    <w:p w14:paraId="739DD69C">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评委提交评审报告，监督人复核。</w:t>
      </w:r>
    </w:p>
    <w:p w14:paraId="093F19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评审小组组长根据汇总情况，宣读评审结果。</w:t>
      </w:r>
    </w:p>
    <w:p w14:paraId="3EF140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（二）评审要求</w:t>
      </w:r>
    </w:p>
    <w:p w14:paraId="3A8D11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1.项目评审开始前，现场工作人员应向评审小组介绍采购项目情况，包括但不限于采购需求、采购限价、供应商资格要求、供应商响应情况、评审流程、评审标准等。</w:t>
      </w:r>
    </w:p>
    <w:p w14:paraId="572269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2.现场工作人员不得向评审人员明示或暗示倾向或者排斥特定供应商，干扰评审人员的客观、公正、独立评审和打分。</w:t>
      </w:r>
    </w:p>
    <w:p w14:paraId="1FD77D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3.监督人员应当维护评审秩序，监督评审人员依照采购文件规定的程序、方法和标准进行独立评审，及时制止和纠正现场倾向性言论或者违法违规行为。</w:t>
      </w:r>
    </w:p>
    <w:p w14:paraId="28F3C8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4.评审人员负责具体评审事务，独立审查、评价供应商响应文件，对本人的评分和评审结果负责。</w:t>
      </w:r>
    </w:p>
    <w:p w14:paraId="0D4DF3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人员应当审查供应商的响应文件是否符合采购文件约定，供应商之间是否存在围标串标行为，供应商是否存在不合理报价情况，如出现围标串标及采购文件约定无效响应情形的，应当认定供应商响应无效，并记录在评审报告中。</w:t>
      </w:r>
    </w:p>
    <w:p w14:paraId="69C142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6.评审人员应当根据采购文件规定的评审项目逐条评审，根据供应商的响应文件综合评价各个供应商响应情况和履约能力。</w:t>
      </w:r>
    </w:p>
    <w:p w14:paraId="28897B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7.对于响应文件中含义不明确、同类问题表述不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致或者有明显文字和计算错误的内容，评审人员可要求供应商作出必要的澄清、说明或者补正。供应商的澄清、说明或者补正不得超出响应文件范围或者改变响应文件实质性内容。</w:t>
      </w:r>
    </w:p>
    <w:p w14:paraId="1A82C7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8.评审人员对需要共同认定的事项存在争议的，应当按照少数服从多数的原则作出结论。持不同意见的评审人员应当在评审报告上签署不同意见及理由，否则视为同意评审报告。</w:t>
      </w:r>
    </w:p>
    <w:p w14:paraId="253A780D">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四、响应文件要求及无效情形</w:t>
      </w:r>
    </w:p>
    <w:p w14:paraId="304B638C">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（一）响应文件要求</w:t>
      </w:r>
    </w:p>
    <w:p w14:paraId="5736CD59">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ascii="仿宋_GB2312" w:eastAsia="仿宋_GB2312" w:hAnsiTheme="majorEastAsia"/>
          <w:sz w:val="32"/>
          <w:szCs w:val="32"/>
        </w:rPr>
        <w:t>.</w:t>
      </w:r>
      <w:r>
        <w:rPr>
          <w:rFonts w:hint="eastAsia" w:ascii="仿宋_GB2312" w:eastAsia="仿宋_GB2312" w:hAnsiTheme="majorEastAsia"/>
          <w:sz w:val="32"/>
          <w:szCs w:val="32"/>
        </w:rPr>
        <w:t>响应文件应进行密封处理；</w:t>
      </w:r>
    </w:p>
    <w:p w14:paraId="37D7BD03">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响应文件应在规定时间内递交。</w:t>
      </w:r>
    </w:p>
    <w:p w14:paraId="46B42D62">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（二）响应文件否决情况</w:t>
      </w:r>
    </w:p>
    <w:p w14:paraId="3A8B80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响应文件开启和评审过程中，若采购人发现响应文件出现以下任一情况，经监督人确认后</w:t>
      </w:r>
      <w:r>
        <w:rPr>
          <w:rFonts w:hint="eastAsia" w:ascii="仿宋_GB2312" w:hAnsi="仿宋_GB2312" w:eastAsia="仿宋_GB2312" w:cs="仿宋_GB2312"/>
          <w:b/>
          <w:bCs/>
          <w:sz w:val="32"/>
          <w:szCs w:val="32"/>
        </w:rPr>
        <w:t>当场宣布为废标或无效投标</w:t>
      </w:r>
      <w:r>
        <w:rPr>
          <w:rFonts w:hint="eastAsia" w:ascii="仿宋_GB2312" w:hAnsi="仿宋_GB2312" w:eastAsia="仿宋_GB2312" w:cs="仿宋_GB2312"/>
          <w:sz w:val="32"/>
          <w:szCs w:val="32"/>
        </w:rPr>
        <w:t>：</w:t>
      </w:r>
    </w:p>
    <w:p w14:paraId="1537B70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响应文件未按要求进行密封处理的；</w:t>
      </w:r>
    </w:p>
    <w:p w14:paraId="415F10D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.未按采购文件的规定提交保证金的；</w:t>
      </w:r>
    </w:p>
    <w:p w14:paraId="15E01F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3.响应文件未按照采购文件要求签署、盖章的；</w:t>
      </w:r>
    </w:p>
    <w:p w14:paraId="60BBBB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4.不具备采购文件中规定的资格要求的；</w:t>
      </w:r>
    </w:p>
    <w:p w14:paraId="7716B2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5.响应报价超过采购人公布最高限价/采购金额的；</w:t>
      </w:r>
    </w:p>
    <w:p w14:paraId="7DA3C3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6.提供有选择的报价的（报价不唯一）；</w:t>
      </w:r>
    </w:p>
    <w:p w14:paraId="4D4605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供应商与采购人存在利害关系可能影响采购公正性的；</w:t>
      </w:r>
    </w:p>
    <w:p w14:paraId="3792C1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供应商负责人为同一人或者存在控股、管理关系的不同供应商参加同一标段投标或者未划分标段的同一采购项目投标；</w:t>
      </w:r>
    </w:p>
    <w:p w14:paraId="506F9F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9.供应商有串通投标、弄虚作假、行贿等违法行为的；</w:t>
      </w:r>
    </w:p>
    <w:p w14:paraId="11346F55">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10</w:t>
      </w:r>
      <w:r>
        <w:rPr>
          <w:rFonts w:ascii="仿宋_GB2312" w:eastAsia="仿宋_GB2312" w:hAnsiTheme="majorEastAsia"/>
          <w:sz w:val="32"/>
          <w:szCs w:val="32"/>
        </w:rPr>
        <w:t>.</w:t>
      </w:r>
      <w:r>
        <w:rPr>
          <w:rFonts w:hint="eastAsia" w:ascii="仿宋_GB2312" w:eastAsia="仿宋_GB2312" w:hAnsiTheme="majorEastAsia"/>
          <w:sz w:val="32"/>
          <w:szCs w:val="32"/>
        </w:rPr>
        <w:t>以联合体形式响应的；</w:t>
      </w:r>
    </w:p>
    <w:p w14:paraId="71A773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法律、法规规定的其他无效情形。</w:t>
      </w:r>
    </w:p>
    <w:p w14:paraId="1AD9C3AD">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67DCBDA4">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（一）评审方法：</w:t>
      </w:r>
      <w:r>
        <w:rPr>
          <w:rFonts w:hint="eastAsia" w:ascii="楷体_GB2312" w:hAnsi="楷体" w:eastAsia="楷体_GB2312" w:cs="仿宋_GB2312"/>
          <w:sz w:val="32"/>
          <w:szCs w:val="32"/>
          <w:lang w:val="en-US" w:eastAsia="zh-CN"/>
        </w:rPr>
        <w:t>综合评估</w:t>
      </w:r>
      <w:r>
        <w:rPr>
          <w:rFonts w:hint="eastAsia" w:ascii="楷体_GB2312" w:hAnsi="楷体" w:eastAsia="楷体_GB2312" w:cs="仿宋_GB2312"/>
          <w:sz w:val="32"/>
          <w:szCs w:val="32"/>
        </w:rPr>
        <w:t xml:space="preserve">法 </w:t>
      </w:r>
    </w:p>
    <w:p w14:paraId="1A6424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响应文件满足采购文件的所有资格条件下，谈判小组与所有参与谈判的供应商进行谈判后，由谈判小组根据采购评审细则要求，结合供应商响应文件和谈判结果进行评分，最后选取</w:t>
      </w:r>
      <w:r>
        <w:rPr>
          <w:rFonts w:hint="eastAsia" w:ascii="仿宋_GB2312" w:hAnsi="仿宋_GB2312" w:eastAsia="仿宋_GB2312" w:cs="仿宋_GB2312"/>
          <w:b/>
          <w:bCs/>
          <w:sz w:val="32"/>
          <w:szCs w:val="32"/>
        </w:rPr>
        <w:t>综合评分最高</w:t>
      </w:r>
      <w:r>
        <w:rPr>
          <w:rFonts w:hint="eastAsia" w:ascii="仿宋_GB2312" w:hAnsi="仿宋_GB2312" w:eastAsia="仿宋_GB2312" w:cs="仿宋_GB2312"/>
          <w:sz w:val="32"/>
          <w:szCs w:val="32"/>
        </w:rPr>
        <w:t>的投标人为第一成交候选人。</w:t>
      </w:r>
    </w:p>
    <w:p w14:paraId="78D32FF4">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w:t>
      </w:r>
    </w:p>
    <w:p w14:paraId="0ED3807E">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1.供应商资格审查</w:t>
      </w:r>
    </w:p>
    <w:p w14:paraId="62F515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6F488967">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《供应商资格审查标准》</w:t>
      </w: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5387"/>
        <w:gridCol w:w="1270"/>
        <w:gridCol w:w="1281"/>
      </w:tblGrid>
      <w:tr w14:paraId="70E5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B6DDE8" w:themeFill="accent5" w:themeFillTint="66"/>
            <w:vAlign w:val="center"/>
          </w:tcPr>
          <w:p w14:paraId="4CCC23B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76" w:type="dxa"/>
            <w:shd w:val="clear" w:color="auto" w:fill="B6DDE8" w:themeFill="accent5" w:themeFillTint="66"/>
            <w:vAlign w:val="center"/>
          </w:tcPr>
          <w:p w14:paraId="4E81E6B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审查因素</w:t>
            </w:r>
          </w:p>
        </w:tc>
        <w:tc>
          <w:tcPr>
            <w:tcW w:w="5387" w:type="dxa"/>
            <w:shd w:val="clear" w:color="auto" w:fill="B6DDE8" w:themeFill="accent5" w:themeFillTint="66"/>
            <w:vAlign w:val="center"/>
          </w:tcPr>
          <w:p w14:paraId="687DA54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审查内容</w:t>
            </w:r>
          </w:p>
        </w:tc>
        <w:tc>
          <w:tcPr>
            <w:tcW w:w="1270" w:type="dxa"/>
            <w:shd w:val="clear" w:color="auto" w:fill="B6DDE8" w:themeFill="accent5" w:themeFillTint="66"/>
            <w:vAlign w:val="center"/>
          </w:tcPr>
          <w:p w14:paraId="373B16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审查情况</w:t>
            </w:r>
          </w:p>
        </w:tc>
        <w:tc>
          <w:tcPr>
            <w:tcW w:w="1281" w:type="dxa"/>
            <w:shd w:val="clear" w:color="auto" w:fill="B6DDE8" w:themeFill="accent5" w:themeFillTint="66"/>
          </w:tcPr>
          <w:p w14:paraId="61F81664">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审查因素使用情况</w:t>
            </w:r>
          </w:p>
        </w:tc>
      </w:tr>
      <w:tr w14:paraId="01C6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C7936B8">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6" w:type="dxa"/>
            <w:vAlign w:val="center"/>
          </w:tcPr>
          <w:p w14:paraId="4134FBD9">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独立承担民事责任的能力</w:t>
            </w:r>
          </w:p>
        </w:tc>
        <w:tc>
          <w:tcPr>
            <w:tcW w:w="5387" w:type="dxa"/>
            <w:vAlign w:val="center"/>
          </w:tcPr>
          <w:p w14:paraId="28AE86DB">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供应商应当为合法存续的法人或其他组织，具有独立承担民事责任的能力。【</w:t>
            </w:r>
            <w:r>
              <w:rPr>
                <w:rFonts w:hint="eastAsia" w:ascii="仿宋_GB2312" w:hAnsi="仿宋_GB2312" w:eastAsia="仿宋_GB2312" w:cs="仿宋_GB2312"/>
                <w:b/>
                <w:bCs/>
                <w:sz w:val="24"/>
                <w:szCs w:val="24"/>
              </w:rPr>
              <w:t>供应商须提供：①营业执照的复印件，加盖公章</w:t>
            </w:r>
            <w:r>
              <w:rPr>
                <w:rFonts w:hint="eastAsia" w:ascii="仿宋_GB2312" w:hAnsi="仿宋_GB2312" w:eastAsia="仿宋_GB2312" w:cs="仿宋_GB2312"/>
                <w:sz w:val="24"/>
                <w:szCs w:val="24"/>
              </w:rPr>
              <w:t>】</w:t>
            </w:r>
          </w:p>
        </w:tc>
        <w:tc>
          <w:tcPr>
            <w:tcW w:w="1270" w:type="dxa"/>
            <w:vAlign w:val="center"/>
          </w:tcPr>
          <w:p w14:paraId="3522A56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4A783CED">
            <w:pPr>
              <w:keepNext w:val="0"/>
              <w:keepLines w:val="0"/>
              <w:suppressLineNumbers w:val="0"/>
              <w:spacing w:before="0" w:beforeAutospacing="0" w:after="0" w:afterAutospacing="0" w:line="276" w:lineRule="auto"/>
              <w:ind w:left="0" w:right="0"/>
              <w:jc w:val="left"/>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5E950BD7">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p>
          <w:p w14:paraId="74225577">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p w14:paraId="165F8BC0">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p>
        </w:tc>
      </w:tr>
      <w:tr w14:paraId="3868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A8BDFF">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6" w:type="dxa"/>
            <w:vAlign w:val="center"/>
          </w:tcPr>
          <w:p w14:paraId="3A8DAD6A">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履约能力</w:t>
            </w:r>
          </w:p>
        </w:tc>
        <w:tc>
          <w:tcPr>
            <w:tcW w:w="5387" w:type="dxa"/>
            <w:vAlign w:val="center"/>
          </w:tcPr>
          <w:p w14:paraId="684283D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bookmarkStart w:id="8" w:name="_Hlk194516215"/>
            <w:r>
              <w:rPr>
                <w:rFonts w:hint="eastAsia" w:ascii="仿宋_GB2312" w:hAnsi="仿宋_GB2312" w:eastAsia="仿宋_GB2312" w:cs="仿宋_GB2312"/>
                <w:sz w:val="24"/>
                <w:szCs w:val="24"/>
              </w:rPr>
              <w:t>具有履行合同所必需的设备或专业技术能力</w:t>
            </w:r>
            <w:bookmarkEnd w:id="8"/>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提供：相关证明文件，加盖公章</w:t>
            </w:r>
            <w:r>
              <w:rPr>
                <w:rFonts w:hint="eastAsia" w:ascii="仿宋_GB2312" w:hAnsi="仿宋_GB2312" w:eastAsia="仿宋_GB2312" w:cs="仿宋_GB2312"/>
                <w:sz w:val="24"/>
                <w:szCs w:val="24"/>
              </w:rPr>
              <w:t>】</w:t>
            </w:r>
          </w:p>
        </w:tc>
        <w:tc>
          <w:tcPr>
            <w:tcW w:w="1270" w:type="dxa"/>
            <w:vAlign w:val="center"/>
          </w:tcPr>
          <w:p w14:paraId="0F3ECB9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5AC7A744">
            <w:pPr>
              <w:keepNext w:val="0"/>
              <w:keepLines w:val="0"/>
              <w:suppressLineNumbers w:val="0"/>
              <w:spacing w:before="0" w:beforeAutospacing="0" w:after="0" w:afterAutospacing="0" w:line="276" w:lineRule="auto"/>
              <w:ind w:left="0" w:right="0"/>
              <w:jc w:val="left"/>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715DB3A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557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DF882C2">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6" w:type="dxa"/>
            <w:vAlign w:val="center"/>
          </w:tcPr>
          <w:p w14:paraId="21BD3EAB">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供应商不得存在情形</w:t>
            </w:r>
          </w:p>
        </w:tc>
        <w:tc>
          <w:tcPr>
            <w:tcW w:w="5387" w:type="dxa"/>
            <w:vAlign w:val="center"/>
          </w:tcPr>
          <w:p w14:paraId="7419F91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不同供应商不存在单位负责人为同一人或者存在直接控股、管理关系的，参加同一合同项下的采购活动的情形。【</w:t>
            </w:r>
            <w:r>
              <w:rPr>
                <w:rFonts w:hint="eastAsia" w:ascii="仿宋_GB2312" w:hAnsi="仿宋_GB2312" w:eastAsia="仿宋_GB2312" w:cs="仿宋_GB2312"/>
                <w:b/>
                <w:bCs/>
                <w:sz w:val="24"/>
                <w:szCs w:val="24"/>
              </w:rPr>
              <w:t>提供：供应商基本情况表，参考附件5，加盖公章</w:t>
            </w:r>
            <w:r>
              <w:rPr>
                <w:rFonts w:hint="eastAsia" w:ascii="仿宋_GB2312" w:hAnsi="仿宋_GB2312" w:eastAsia="仿宋_GB2312" w:cs="仿宋_GB2312"/>
                <w:sz w:val="24"/>
                <w:szCs w:val="24"/>
              </w:rPr>
              <w:t>】</w:t>
            </w:r>
          </w:p>
        </w:tc>
        <w:tc>
          <w:tcPr>
            <w:tcW w:w="1270" w:type="dxa"/>
            <w:vAlign w:val="center"/>
          </w:tcPr>
          <w:p w14:paraId="079EFD6C">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2374DDF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31D29FE3">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7FD8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8E7DD8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6" w:type="dxa"/>
            <w:vAlign w:val="center"/>
          </w:tcPr>
          <w:p w14:paraId="62299D8B">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5387" w:type="dxa"/>
            <w:vAlign w:val="center"/>
          </w:tcPr>
          <w:p w14:paraId="718DBBC1">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信用良好【</w:t>
            </w:r>
            <w:r>
              <w:rPr>
                <w:rFonts w:hint="eastAsia" w:ascii="仿宋_GB2312" w:hAnsi="仿宋_GB2312" w:eastAsia="仿宋_GB2312" w:cs="仿宋_GB2312"/>
                <w:b/>
                <w:bCs/>
                <w:sz w:val="24"/>
                <w:szCs w:val="24"/>
              </w:rPr>
              <w:t>提供“信用中国”网站www.creditchina.gov.cn及中国政府采购网http://www.ccgp.gov.cn/ 查询结果截图打印页，加盖公章；</w:t>
            </w:r>
            <w:r>
              <w:rPr>
                <w:rFonts w:hint="eastAsia" w:ascii="仿宋_GB2312" w:hAnsi="仿宋_GB2312" w:eastAsia="仿宋_GB2312" w:cs="仿宋_GB2312"/>
                <w:sz w:val="24"/>
                <w:szCs w:val="24"/>
              </w:rPr>
              <w:t>】</w:t>
            </w:r>
          </w:p>
        </w:tc>
        <w:tc>
          <w:tcPr>
            <w:tcW w:w="1270" w:type="dxa"/>
            <w:vAlign w:val="center"/>
          </w:tcPr>
          <w:p w14:paraId="138DE2B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6568C848">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2C70BA8E">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6B4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BCCB6FD">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76" w:type="dxa"/>
            <w:vAlign w:val="center"/>
          </w:tcPr>
          <w:p w14:paraId="5794FCA6">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特定资格要求</w:t>
            </w:r>
          </w:p>
        </w:tc>
        <w:tc>
          <w:tcPr>
            <w:tcW w:w="5387" w:type="dxa"/>
            <w:vAlign w:val="center"/>
          </w:tcPr>
          <w:p w14:paraId="09AD45FF">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符合采购项目方案规定的供应商资格要求。</w:t>
            </w:r>
            <w:r>
              <w:rPr>
                <w:rFonts w:hint="eastAsia" w:ascii="仿宋_GB2312" w:hAnsi="仿宋_GB2312" w:eastAsia="仿宋_GB2312" w:cs="仿宋_GB2312"/>
                <w:b/>
                <w:bCs/>
                <w:sz w:val="24"/>
                <w:szCs w:val="24"/>
              </w:rPr>
              <w:t>【本项供应商无须提供相关证明材料】</w:t>
            </w:r>
          </w:p>
        </w:tc>
        <w:tc>
          <w:tcPr>
            <w:tcW w:w="1270" w:type="dxa"/>
            <w:vAlign w:val="center"/>
          </w:tcPr>
          <w:p w14:paraId="4B7D14BC">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57630B5F">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0DB81D26">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4993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A1B78D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76" w:type="dxa"/>
            <w:vAlign w:val="center"/>
          </w:tcPr>
          <w:p w14:paraId="0AF79053">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387" w:type="dxa"/>
            <w:vAlign w:val="center"/>
          </w:tcPr>
          <w:p w14:paraId="566866E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供应商按要求缴纳投标保证金。</w:t>
            </w:r>
            <w:r>
              <w:rPr>
                <w:rFonts w:hint="eastAsia" w:ascii="仿宋_GB2312" w:hAnsi="仿宋_GB2312" w:eastAsia="仿宋_GB2312" w:cs="仿宋_GB2312"/>
                <w:b/>
                <w:bCs/>
                <w:sz w:val="24"/>
                <w:szCs w:val="24"/>
              </w:rPr>
              <w:t>【本采购项目不要求缴纳投标保证金】</w:t>
            </w:r>
          </w:p>
        </w:tc>
        <w:tc>
          <w:tcPr>
            <w:tcW w:w="1270" w:type="dxa"/>
            <w:vAlign w:val="center"/>
          </w:tcPr>
          <w:p w14:paraId="1A06A4AE">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7E400F2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7A91E1DE">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5D2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7BC130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76" w:type="dxa"/>
            <w:vAlign w:val="center"/>
          </w:tcPr>
          <w:p w14:paraId="45333EF9">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供应商黑名单</w:t>
            </w:r>
          </w:p>
        </w:tc>
        <w:tc>
          <w:tcPr>
            <w:tcW w:w="5387" w:type="dxa"/>
            <w:vAlign w:val="center"/>
          </w:tcPr>
          <w:p w14:paraId="5A03B637">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初步审查供应商没有被列入集团供应商黑名单。</w:t>
            </w:r>
            <w:r>
              <w:rPr>
                <w:rFonts w:hint="eastAsia" w:ascii="仿宋_GB2312" w:hAnsi="仿宋_GB2312" w:eastAsia="仿宋_GB2312" w:cs="仿宋_GB2312"/>
                <w:b/>
                <w:bCs/>
                <w:sz w:val="24"/>
                <w:szCs w:val="24"/>
              </w:rPr>
              <w:t>【本项供应商无须提供相关证明材料】</w:t>
            </w:r>
          </w:p>
        </w:tc>
        <w:tc>
          <w:tcPr>
            <w:tcW w:w="1270" w:type="dxa"/>
            <w:vAlign w:val="center"/>
          </w:tcPr>
          <w:p w14:paraId="6F613BC6">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5B723B10">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4850C1E8">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bl>
    <w:p w14:paraId="61AE571E">
      <w:pPr>
        <w:spacing w:line="480" w:lineRule="exact"/>
        <w:ind w:firstLine="241" w:firstLineChars="1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sz w:val="24"/>
          <w:szCs w:val="24"/>
        </w:rPr>
        <w:t>（1）以上资格审查标准中如出现一处不符合要求，响应按无效处理。</w:t>
      </w:r>
    </w:p>
    <w:p w14:paraId="59E78EAD">
      <w:pPr>
        <w:spacing w:line="4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（2）本表评审依据要求的各项证明文件须编入响应文件。</w:t>
      </w:r>
    </w:p>
    <w:p w14:paraId="5B4DB3F2">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2.符合性审查</w:t>
      </w:r>
    </w:p>
    <w:p w14:paraId="38CF8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符合性审查标准》对响应文件进行符合性审查。有一项不符合评审标准的，评审小组应当否决其响应。符合性审查评审的结论是“通过”或“不通过”，只有结论为“通过”的响应文件方能进入下一阶段的评审，否则其响应将按无效处理。</w:t>
      </w:r>
    </w:p>
    <w:p w14:paraId="151B32A9">
      <w:pPr>
        <w:spacing w:line="560" w:lineRule="exact"/>
        <w:ind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《符合性审查标准》</w:t>
      </w:r>
    </w:p>
    <w:tbl>
      <w:tblPr>
        <w:tblStyle w:val="1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386"/>
        <w:gridCol w:w="1276"/>
      </w:tblGrid>
      <w:tr w14:paraId="6528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B8CCE4" w:themeFill="accent1" w:themeFillTint="66"/>
          </w:tcPr>
          <w:p w14:paraId="568BD61F">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b/>
                <w:bCs/>
                <w:sz w:val="24"/>
                <w:szCs w:val="24"/>
              </w:rPr>
            </w:pPr>
            <w:r>
              <w:rPr>
                <w:rFonts w:hint="eastAsia" w:ascii="仿宋_GB2312" w:hAnsi="楷体" w:eastAsia="仿宋_GB2312" w:cs="仿宋_GB2312"/>
                <w:b/>
                <w:bCs/>
                <w:sz w:val="24"/>
                <w:szCs w:val="24"/>
              </w:rPr>
              <w:t>序号</w:t>
            </w:r>
          </w:p>
        </w:tc>
        <w:tc>
          <w:tcPr>
            <w:tcW w:w="1276" w:type="dxa"/>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B8CCE4" w:themeFill="accent1" w:themeFillTint="66"/>
          </w:tcPr>
          <w:p w14:paraId="4DA24711">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b/>
                <w:bCs/>
                <w:sz w:val="24"/>
                <w:szCs w:val="24"/>
              </w:rPr>
            </w:pPr>
            <w:r>
              <w:rPr>
                <w:rFonts w:hint="eastAsia" w:ascii="仿宋_GB2312" w:hAnsi="楷体" w:eastAsia="仿宋_GB2312" w:cs="仿宋_GB2312"/>
                <w:b/>
                <w:bCs/>
                <w:sz w:val="24"/>
                <w:szCs w:val="24"/>
              </w:rPr>
              <w:t>审查因素</w:t>
            </w:r>
          </w:p>
        </w:tc>
        <w:tc>
          <w:tcPr>
            <w:tcW w:w="5386" w:type="dxa"/>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B8CCE4" w:themeFill="accent1" w:themeFillTint="66"/>
          </w:tcPr>
          <w:p w14:paraId="658D2EEA">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b/>
                <w:bCs/>
                <w:sz w:val="24"/>
                <w:szCs w:val="24"/>
              </w:rPr>
            </w:pPr>
            <w:r>
              <w:rPr>
                <w:rFonts w:hint="eastAsia" w:ascii="仿宋_GB2312" w:hAnsi="楷体" w:eastAsia="仿宋_GB2312" w:cs="仿宋_GB2312"/>
                <w:b/>
                <w:bCs/>
                <w:sz w:val="24"/>
                <w:szCs w:val="24"/>
              </w:rPr>
              <w:t>审查内容</w:t>
            </w:r>
          </w:p>
        </w:tc>
        <w:tc>
          <w:tcPr>
            <w:tcW w:w="1276" w:type="dxa"/>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B8CCE4" w:themeFill="accent1" w:themeFillTint="66"/>
          </w:tcPr>
          <w:p w14:paraId="744DBBBE">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b/>
                <w:bCs/>
                <w:sz w:val="24"/>
                <w:szCs w:val="24"/>
              </w:rPr>
            </w:pPr>
            <w:r>
              <w:rPr>
                <w:rFonts w:hint="eastAsia" w:ascii="仿宋_GB2312" w:hAnsi="楷体" w:eastAsia="仿宋_GB2312" w:cs="仿宋_GB2312"/>
                <w:b/>
                <w:bCs/>
                <w:sz w:val="24"/>
                <w:szCs w:val="24"/>
              </w:rPr>
              <w:t>审查情况</w:t>
            </w:r>
          </w:p>
        </w:tc>
      </w:tr>
      <w:tr w14:paraId="378F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4F81BD" w:themeColor="accent1" w:sz="4" w:space="0"/>
            </w:tcBorders>
            <w:vAlign w:val="center"/>
          </w:tcPr>
          <w:p w14:paraId="5A2D8B13">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1</w:t>
            </w:r>
          </w:p>
        </w:tc>
        <w:tc>
          <w:tcPr>
            <w:tcW w:w="1276" w:type="dxa"/>
            <w:tcBorders>
              <w:top w:val="single" w:color="4F81BD" w:themeColor="accent1" w:sz="4" w:space="0"/>
            </w:tcBorders>
            <w:vAlign w:val="center"/>
          </w:tcPr>
          <w:p w14:paraId="203D4081">
            <w:pPr>
              <w:keepNext w:val="0"/>
              <w:keepLines w:val="0"/>
              <w:suppressLineNumbers w:val="0"/>
              <w:spacing w:before="0" w:beforeAutospacing="0" w:after="0" w:afterAutospacing="0"/>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响应文件的完整性</w:t>
            </w:r>
          </w:p>
        </w:tc>
        <w:tc>
          <w:tcPr>
            <w:tcW w:w="5386" w:type="dxa"/>
            <w:tcBorders>
              <w:top w:val="single" w:color="4F81BD" w:themeColor="accent1" w:sz="4" w:space="0"/>
            </w:tcBorders>
          </w:tcPr>
          <w:p w14:paraId="68E05E37">
            <w:pPr>
              <w:keepNext w:val="0"/>
              <w:keepLines w:val="0"/>
              <w:suppressLineNumbers w:val="0"/>
              <w:spacing w:before="0" w:beforeAutospacing="0" w:after="0" w:afterAutospacing="0" w:line="276" w:lineRule="auto"/>
              <w:ind w:left="0" w:right="0"/>
              <w:rPr>
                <w:rFonts w:hint="eastAsia" w:ascii="仿宋_GB2312" w:hAnsi="楷体" w:eastAsia="仿宋_GB2312" w:cs="仿宋_GB2312"/>
                <w:sz w:val="24"/>
                <w:szCs w:val="24"/>
              </w:rPr>
            </w:pPr>
            <w:r>
              <w:rPr>
                <w:rFonts w:hint="default" w:ascii="仿宋_GB2312" w:hAnsi="楷体" w:eastAsia="仿宋_GB2312" w:cs="仿宋_GB2312"/>
                <w:sz w:val="24"/>
                <w:szCs w:val="24"/>
              </w:rPr>
              <w:t>检查</w:t>
            </w:r>
            <w:r>
              <w:rPr>
                <w:rFonts w:hint="eastAsia" w:ascii="仿宋_GB2312" w:hAnsi="楷体" w:eastAsia="仿宋_GB2312" w:cs="仿宋_GB2312"/>
                <w:sz w:val="24"/>
                <w:szCs w:val="24"/>
              </w:rPr>
              <w:t>响应</w:t>
            </w:r>
            <w:r>
              <w:rPr>
                <w:rFonts w:hint="default" w:ascii="仿宋_GB2312" w:hAnsi="楷体" w:eastAsia="仿宋_GB2312" w:cs="仿宋_GB2312"/>
                <w:sz w:val="24"/>
                <w:szCs w:val="24"/>
              </w:rPr>
              <w:t>文件是否包含所有要求的文档</w:t>
            </w:r>
            <w:r>
              <w:rPr>
                <w:rFonts w:hint="eastAsia" w:ascii="仿宋_GB2312" w:hAnsi="楷体" w:eastAsia="仿宋_GB2312" w:cs="仿宋_GB2312"/>
                <w:sz w:val="24"/>
                <w:szCs w:val="24"/>
              </w:rPr>
              <w:t>【</w:t>
            </w:r>
            <w:r>
              <w:rPr>
                <w:rFonts w:hint="eastAsia" w:ascii="仿宋_GB2312" w:hAnsi="楷体" w:eastAsia="仿宋_GB2312" w:cs="仿宋_GB2312"/>
                <w:b/>
                <w:bCs/>
                <w:sz w:val="24"/>
                <w:szCs w:val="24"/>
              </w:rPr>
              <w:t>供应商须提供：</w:t>
            </w:r>
            <w:r>
              <w:rPr>
                <w:rFonts w:hint="eastAsia" w:ascii="仿宋_GB2312" w:hAnsi="楷体" w:eastAsia="仿宋_GB2312" w:cs="仿宋_GB2312"/>
                <w:b/>
                <w:bCs/>
                <w:sz w:val="24"/>
                <w:szCs w:val="24"/>
              </w:rPr>
              <w:sym w:font="Wingdings" w:char="F081"/>
            </w:r>
            <w:r>
              <w:rPr>
                <w:rFonts w:hint="eastAsia" w:ascii="仿宋_GB2312" w:hAnsi="楷体" w:eastAsia="仿宋_GB2312" w:cs="仿宋_GB2312"/>
                <w:b/>
                <w:bCs/>
                <w:sz w:val="24"/>
                <w:szCs w:val="24"/>
              </w:rPr>
              <w:t>报价表；</w:t>
            </w:r>
            <w:r>
              <w:rPr>
                <w:rFonts w:hint="eastAsia" w:ascii="仿宋_GB2312" w:hAnsi="楷体" w:eastAsia="仿宋_GB2312" w:cs="仿宋_GB2312"/>
                <w:b/>
                <w:bCs/>
                <w:sz w:val="24"/>
                <w:szCs w:val="24"/>
              </w:rPr>
              <w:sym w:font="Wingdings" w:char="F082"/>
            </w:r>
            <w:r>
              <w:rPr>
                <w:rFonts w:hint="eastAsia" w:ascii="仿宋_GB2312" w:hAnsi="楷体" w:eastAsia="仿宋_GB2312" w:cs="仿宋_GB2312"/>
                <w:b/>
                <w:bCs/>
                <w:sz w:val="24"/>
                <w:szCs w:val="24"/>
              </w:rPr>
              <w:t>响应函；</w:t>
            </w:r>
            <w:r>
              <w:rPr>
                <w:rFonts w:hint="eastAsia" w:ascii="仿宋_GB2312" w:hAnsi="楷体" w:eastAsia="仿宋_GB2312" w:cs="仿宋_GB2312"/>
                <w:b/>
                <w:bCs/>
                <w:sz w:val="24"/>
                <w:szCs w:val="24"/>
              </w:rPr>
              <w:sym w:font="Wingdings" w:char="F083"/>
            </w:r>
            <w:r>
              <w:rPr>
                <w:rFonts w:hint="eastAsia" w:ascii="仿宋_GB2312" w:hAnsi="楷体" w:eastAsia="仿宋_GB2312" w:cs="仿宋_GB2312"/>
                <w:b/>
                <w:bCs/>
                <w:sz w:val="24"/>
                <w:szCs w:val="24"/>
              </w:rPr>
              <w:t>法定代表人（负责人）身份证明书与身份证复印件；如非法定代表人（或非负责人）作为供应商代表的，则需同时提供法定代表人（负责人）授权委托书与委托代理人身份证复印件；</w:t>
            </w:r>
            <w:r>
              <w:rPr>
                <w:rFonts w:hint="eastAsia" w:ascii="仿宋_GB2312" w:hAnsi="楷体" w:eastAsia="仿宋_GB2312" w:cs="仿宋_GB2312"/>
                <w:b/>
                <w:bCs/>
                <w:sz w:val="24"/>
                <w:szCs w:val="24"/>
              </w:rPr>
              <w:sym w:font="Wingdings" w:char="F085"/>
            </w:r>
            <w:r>
              <w:rPr>
                <w:rFonts w:hint="eastAsia" w:ascii="仿宋_GB2312" w:hAnsi="楷体" w:eastAsia="仿宋_GB2312" w:cs="仿宋_GB2312"/>
                <w:b/>
                <w:bCs/>
                <w:sz w:val="24"/>
                <w:szCs w:val="24"/>
              </w:rPr>
              <w:t>供应商基本情况表；</w:t>
            </w:r>
            <w:r>
              <w:rPr>
                <w:rFonts w:hint="eastAsia" w:ascii="仿宋_GB2312" w:hAnsi="楷体" w:eastAsia="仿宋_GB2312" w:cs="仿宋_GB2312"/>
                <w:b/>
                <w:bCs/>
                <w:sz w:val="24"/>
                <w:szCs w:val="24"/>
              </w:rPr>
              <w:sym w:font="Wingdings" w:char="F086"/>
            </w:r>
            <w:r>
              <w:rPr>
                <w:rFonts w:hint="eastAsia" w:ascii="仿宋_GB2312" w:hAnsi="楷体" w:eastAsia="仿宋_GB2312" w:cs="仿宋_GB2312"/>
                <w:b/>
                <w:bCs/>
                <w:sz w:val="24"/>
                <w:szCs w:val="24"/>
              </w:rPr>
              <w:t>设备或专业技术能力证明文件；以上文件均须加盖公章</w:t>
            </w:r>
            <w:r>
              <w:rPr>
                <w:rFonts w:hint="eastAsia" w:ascii="仿宋_GB2312" w:hAnsi="楷体" w:eastAsia="仿宋_GB2312" w:cs="仿宋_GB2312"/>
                <w:sz w:val="24"/>
                <w:szCs w:val="24"/>
              </w:rPr>
              <w:t>】</w:t>
            </w:r>
          </w:p>
        </w:tc>
        <w:tc>
          <w:tcPr>
            <w:tcW w:w="1276" w:type="dxa"/>
            <w:tcBorders>
              <w:top w:val="single" w:color="4F81BD" w:themeColor="accent1" w:sz="4" w:space="0"/>
            </w:tcBorders>
            <w:vAlign w:val="center"/>
          </w:tcPr>
          <w:p w14:paraId="7EA2390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028B5D85">
            <w:pPr>
              <w:keepNext w:val="0"/>
              <w:keepLines w:val="0"/>
              <w:suppressLineNumbers w:val="0"/>
              <w:spacing w:before="0" w:beforeAutospacing="0" w:after="0" w:afterAutospacing="0" w:line="276" w:lineRule="auto"/>
              <w:ind w:left="0" w:right="0"/>
              <w:rPr>
                <w:rFonts w:hint="eastAsia" w:ascii="仿宋_GB2312" w:hAnsi="楷体"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r>
      <w:tr w14:paraId="578E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D31883">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2</w:t>
            </w:r>
          </w:p>
        </w:tc>
        <w:tc>
          <w:tcPr>
            <w:tcW w:w="1276" w:type="dxa"/>
            <w:vAlign w:val="center"/>
          </w:tcPr>
          <w:p w14:paraId="6A601D79">
            <w:pPr>
              <w:keepNext w:val="0"/>
              <w:keepLines w:val="0"/>
              <w:suppressLineNumbers w:val="0"/>
              <w:spacing w:before="0" w:beforeAutospacing="0" w:after="0" w:afterAutospacing="0" w:line="276" w:lineRule="auto"/>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响应文件的规范性</w:t>
            </w:r>
          </w:p>
        </w:tc>
        <w:tc>
          <w:tcPr>
            <w:tcW w:w="5386" w:type="dxa"/>
          </w:tcPr>
          <w:p w14:paraId="04579A87">
            <w:pPr>
              <w:keepNext w:val="0"/>
              <w:keepLines w:val="0"/>
              <w:suppressLineNumbers w:val="0"/>
              <w:spacing w:before="0" w:beforeAutospacing="0" w:after="0" w:afterAutospacing="0" w:line="276" w:lineRule="auto"/>
              <w:ind w:left="0" w:right="0"/>
              <w:rPr>
                <w:rFonts w:hint="eastAsia" w:ascii="仿宋_GB2312" w:hAnsi="楷体" w:eastAsia="仿宋_GB2312" w:cs="仿宋_GB2312"/>
                <w:sz w:val="24"/>
                <w:szCs w:val="24"/>
              </w:rPr>
            </w:pPr>
            <w:r>
              <w:rPr>
                <w:rFonts w:hint="default" w:ascii="仿宋_GB2312" w:hAnsi="楷体" w:eastAsia="仿宋_GB2312" w:cs="仿宋_GB2312"/>
                <w:sz w:val="24"/>
                <w:szCs w:val="24"/>
              </w:rPr>
              <w:t>核实文件的格式和签署是否符合招标</w:t>
            </w:r>
            <w:r>
              <w:rPr>
                <w:rFonts w:hint="eastAsia" w:ascii="仿宋_GB2312" w:hAnsi="楷体" w:eastAsia="仿宋_GB2312" w:cs="仿宋_GB2312"/>
                <w:sz w:val="24"/>
                <w:szCs w:val="24"/>
              </w:rPr>
              <w:t>采购</w:t>
            </w:r>
            <w:r>
              <w:rPr>
                <w:rFonts w:hint="default" w:ascii="仿宋_GB2312" w:hAnsi="楷体" w:eastAsia="仿宋_GB2312" w:cs="仿宋_GB2312"/>
                <w:sz w:val="24"/>
                <w:szCs w:val="24"/>
              </w:rPr>
              <w:t>文件的规定</w:t>
            </w:r>
            <w:r>
              <w:rPr>
                <w:rFonts w:hint="eastAsia" w:ascii="仿宋_GB2312" w:hAnsi="楷体" w:eastAsia="仿宋_GB2312" w:cs="仿宋_GB2312"/>
                <w:sz w:val="24"/>
                <w:szCs w:val="24"/>
              </w:rPr>
              <w:t>【</w:t>
            </w:r>
            <w:r>
              <w:rPr>
                <w:rFonts w:hint="eastAsia" w:ascii="仿宋_GB2312" w:hAnsi="楷体" w:eastAsia="仿宋_GB2312" w:cs="仿宋_GB2312"/>
                <w:b/>
                <w:bCs/>
                <w:sz w:val="24"/>
                <w:szCs w:val="24"/>
              </w:rPr>
              <w:t>审查方向：核实响应文件在形式上是否符合招标采购文件的规定，如文件格式、装订方式、提交份数等</w:t>
            </w:r>
            <w:r>
              <w:rPr>
                <w:rFonts w:hint="eastAsia" w:ascii="仿宋_GB2312" w:hAnsi="楷体" w:eastAsia="仿宋_GB2312" w:cs="仿宋_GB2312"/>
                <w:sz w:val="24"/>
                <w:szCs w:val="24"/>
              </w:rPr>
              <w:t>】</w:t>
            </w:r>
          </w:p>
        </w:tc>
        <w:tc>
          <w:tcPr>
            <w:tcW w:w="1276" w:type="dxa"/>
            <w:vAlign w:val="center"/>
          </w:tcPr>
          <w:p w14:paraId="122CF794">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2FCFF247">
            <w:pPr>
              <w:keepNext w:val="0"/>
              <w:keepLines w:val="0"/>
              <w:suppressLineNumbers w:val="0"/>
              <w:spacing w:before="0" w:beforeAutospacing="0" w:after="0" w:afterAutospacing="0" w:line="276" w:lineRule="auto"/>
              <w:ind w:left="0" w:right="0"/>
              <w:rPr>
                <w:rFonts w:hint="eastAsia" w:ascii="仿宋_GB2312" w:hAnsi="楷体"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r>
      <w:tr w14:paraId="50DA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C390E64">
            <w:pPr>
              <w:keepNext w:val="0"/>
              <w:keepLines w:val="0"/>
              <w:suppressLineNumbers w:val="0"/>
              <w:spacing w:before="0" w:beforeAutospacing="0" w:after="0" w:afterAutospacing="0" w:line="560" w:lineRule="exact"/>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3</w:t>
            </w:r>
          </w:p>
        </w:tc>
        <w:tc>
          <w:tcPr>
            <w:tcW w:w="1276" w:type="dxa"/>
            <w:vAlign w:val="center"/>
          </w:tcPr>
          <w:p w14:paraId="03E9C642">
            <w:pPr>
              <w:keepNext w:val="0"/>
              <w:keepLines w:val="0"/>
              <w:suppressLineNumbers w:val="0"/>
              <w:spacing w:before="0" w:beforeAutospacing="0" w:after="0" w:afterAutospacing="0" w:line="276" w:lineRule="auto"/>
              <w:ind w:left="0" w:right="0"/>
              <w:jc w:val="center"/>
              <w:rPr>
                <w:rFonts w:hint="eastAsia" w:ascii="仿宋_GB2312" w:hAnsi="楷体" w:eastAsia="仿宋_GB2312" w:cs="仿宋_GB2312"/>
                <w:sz w:val="24"/>
                <w:szCs w:val="24"/>
              </w:rPr>
            </w:pPr>
            <w:r>
              <w:rPr>
                <w:rFonts w:hint="eastAsia" w:ascii="仿宋_GB2312" w:hAnsi="楷体" w:eastAsia="仿宋_GB2312" w:cs="仿宋_GB2312"/>
                <w:sz w:val="24"/>
                <w:szCs w:val="24"/>
              </w:rPr>
              <w:t>响应程度审查</w:t>
            </w:r>
          </w:p>
        </w:tc>
        <w:tc>
          <w:tcPr>
            <w:tcW w:w="5386" w:type="dxa"/>
          </w:tcPr>
          <w:p w14:paraId="3A6780BC">
            <w:pPr>
              <w:keepNext w:val="0"/>
              <w:keepLines w:val="0"/>
              <w:suppressLineNumbers w:val="0"/>
              <w:snapToGrid w:val="0"/>
              <w:spacing w:before="0" w:beforeAutospacing="0" w:after="0" w:afterAutospacing="0"/>
              <w:ind w:left="0" w:right="0" w:firstLine="480" w:firstLineChars="200"/>
              <w:rPr>
                <w:rFonts w:hint="eastAsia" w:ascii="仿宋_GB2312" w:hAnsi="楷体" w:eastAsia="仿宋_GB2312" w:cs="仿宋_GB2312"/>
                <w:b/>
                <w:bCs/>
                <w:sz w:val="24"/>
                <w:szCs w:val="24"/>
              </w:rPr>
            </w:pPr>
            <w:r>
              <w:rPr>
                <w:rFonts w:hint="default" w:ascii="仿宋_GB2312" w:hAnsi="楷体" w:eastAsia="仿宋_GB2312" w:cs="仿宋_GB2312"/>
                <w:sz w:val="24"/>
                <w:szCs w:val="24"/>
              </w:rPr>
              <w:t>评估</w:t>
            </w:r>
            <w:r>
              <w:rPr>
                <w:rFonts w:hint="eastAsia" w:ascii="仿宋_GB2312" w:hAnsi="楷体" w:eastAsia="仿宋_GB2312" w:cs="仿宋_GB2312"/>
                <w:sz w:val="24"/>
                <w:szCs w:val="24"/>
              </w:rPr>
              <w:t>响应</w:t>
            </w:r>
            <w:r>
              <w:rPr>
                <w:rFonts w:hint="default" w:ascii="仿宋_GB2312" w:hAnsi="楷体" w:eastAsia="仿宋_GB2312" w:cs="仿宋_GB2312"/>
                <w:sz w:val="24"/>
                <w:szCs w:val="24"/>
              </w:rPr>
              <w:t>文件是否对招标文件的实质性要求作出了响应</w:t>
            </w:r>
            <w:r>
              <w:rPr>
                <w:rFonts w:hint="eastAsia" w:ascii="仿宋_GB2312" w:hAnsi="楷体" w:eastAsia="仿宋_GB2312" w:cs="仿宋_GB2312"/>
                <w:sz w:val="24"/>
                <w:szCs w:val="24"/>
              </w:rPr>
              <w:t>。</w:t>
            </w:r>
            <w:r>
              <w:rPr>
                <w:rFonts w:hint="eastAsia" w:ascii="仿宋_GB2312" w:hAnsi="楷体" w:eastAsia="仿宋_GB2312" w:cs="仿宋_GB2312"/>
                <w:b/>
                <w:bCs/>
                <w:sz w:val="24"/>
                <w:szCs w:val="24"/>
              </w:rPr>
              <w:t>【审查方向：核实供应商是否按照招标采购文件对技术方案、服务方案、服务承诺等方面进行响应，如是否提供：1.同类型文化类案例2个（附合同副本）、阅读量超过5万以上的推文3个（以Word文档形式附推文链链接</w:t>
            </w:r>
            <w:r>
              <w:rPr>
                <w:rFonts w:hint="eastAsia" w:ascii="仿宋_GB2312" w:hAnsi="楷体" w:eastAsia="仿宋_GB2312" w:cs="仿宋_GB2312"/>
                <w:b/>
                <w:bCs/>
                <w:sz w:val="24"/>
                <w:szCs w:val="24"/>
                <w:lang w:eastAsia="zh-CN"/>
              </w:rPr>
              <w:t>，</w:t>
            </w:r>
            <w:r>
              <w:rPr>
                <w:rFonts w:hint="eastAsia" w:ascii="仿宋_GB2312" w:hAnsi="楷体" w:eastAsia="仿宋_GB2312" w:cs="仿宋_GB2312"/>
                <w:b/>
                <w:bCs/>
                <w:sz w:val="24"/>
                <w:szCs w:val="24"/>
                <w:lang w:val="en-US" w:eastAsia="zh-CN"/>
              </w:rPr>
              <w:t>提供U盘</w:t>
            </w:r>
            <w:r>
              <w:rPr>
                <w:rFonts w:hint="eastAsia" w:ascii="仿宋_GB2312" w:hAnsi="楷体" w:eastAsia="仿宋_GB2312" w:cs="仿宋_GB2312"/>
                <w:b/>
                <w:bCs/>
                <w:sz w:val="24"/>
                <w:szCs w:val="24"/>
              </w:rPr>
              <w:t>）、服务小组团队信息（附劳动关系单位和社保缴纳单位）、微信公众号账号与所属供应商的关系证明（附认证页面截图）。2.响应方案。】</w:t>
            </w:r>
          </w:p>
        </w:tc>
        <w:tc>
          <w:tcPr>
            <w:tcW w:w="1276" w:type="dxa"/>
            <w:vAlign w:val="center"/>
          </w:tcPr>
          <w:p w14:paraId="631EBBB9">
            <w:pPr>
              <w:keepNext w:val="0"/>
              <w:keepLines w:val="0"/>
              <w:suppressLineNumbers w:val="0"/>
              <w:spacing w:before="0" w:beforeAutospacing="0" w:after="0" w:afterAutospacing="0" w:line="276" w:lineRule="auto"/>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2FC26CF6">
            <w:pPr>
              <w:keepNext w:val="0"/>
              <w:keepLines w:val="0"/>
              <w:suppressLineNumbers w:val="0"/>
              <w:spacing w:before="0" w:beforeAutospacing="0" w:after="0" w:afterAutospacing="0" w:line="276" w:lineRule="auto"/>
              <w:ind w:left="0" w:right="0"/>
              <w:rPr>
                <w:rFonts w:hint="eastAsia" w:ascii="仿宋_GB2312" w:hAnsi="楷体" w:eastAsia="仿宋_GB2312" w:cs="仿宋_GB2312"/>
                <w:sz w:val="24"/>
                <w:szCs w:val="24"/>
              </w:rPr>
            </w:pPr>
            <w:r>
              <w:rPr>
                <w:rFonts w:hint="default"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r>
    </w:tbl>
    <w:p w14:paraId="3B788F01">
      <w:pPr>
        <w:spacing w:line="48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sz w:val="24"/>
          <w:szCs w:val="24"/>
        </w:rPr>
        <w:t>（1）以上符合性审查标准中如出现一处不符合要求，响应按无效处理。</w:t>
      </w:r>
    </w:p>
    <w:p w14:paraId="54E86953">
      <w:pPr>
        <w:spacing w:line="48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（2）本表评审依据要求的各项证明文件须编入响应文件。</w:t>
      </w:r>
    </w:p>
    <w:p w14:paraId="3B7323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bCs/>
          <w:sz w:val="32"/>
          <w:szCs w:val="32"/>
        </w:rPr>
      </w:pPr>
      <w:r>
        <w:rPr>
          <w:rFonts w:hint="eastAsia" w:ascii="楷体_GB2312" w:hAnsi="楷体" w:eastAsia="楷体_GB2312" w:cs="仿宋_GB2312"/>
          <w:b/>
          <w:bCs/>
          <w:sz w:val="32"/>
          <w:szCs w:val="32"/>
        </w:rPr>
        <w:t>（三）</w:t>
      </w:r>
      <w:bookmarkStart w:id="9" w:name="_Hlk74923964"/>
      <w:r>
        <w:rPr>
          <w:rFonts w:hint="eastAsia" w:ascii="楷体_GB2312" w:hAnsi="楷体" w:eastAsia="楷体_GB2312" w:cs="仿宋_GB2312"/>
          <w:b/>
          <w:bCs/>
          <w:sz w:val="32"/>
          <w:szCs w:val="32"/>
        </w:rPr>
        <w:t>评审细则</w:t>
      </w:r>
    </w:p>
    <w:p w14:paraId="6B0F033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6"/>
          <w:lang w:val="en-US" w:eastAsia="zh-CN"/>
        </w:rPr>
      </w:pPr>
      <w:r>
        <w:rPr>
          <w:rFonts w:hint="eastAsia" w:ascii="仿宋_GB2312" w:hAnsi="仿宋_GB2312" w:eastAsia="仿宋_GB2312" w:cs="仿宋_GB2312"/>
          <w:color w:val="000000"/>
          <w:sz w:val="32"/>
          <w:szCs w:val="36"/>
        </w:rPr>
        <w:t>按</w:t>
      </w:r>
      <w:r>
        <w:rPr>
          <w:rFonts w:hint="eastAsia" w:ascii="仿宋_GB2312" w:hAnsi="仿宋_GB2312" w:eastAsia="仿宋_GB2312" w:cs="仿宋_GB2312"/>
          <w:color w:val="000000"/>
          <w:sz w:val="32"/>
          <w:szCs w:val="36"/>
          <w:lang w:val="en-US" w:eastAsia="zh-CN"/>
        </w:rPr>
        <w:t>价格部分、</w:t>
      </w:r>
      <w:r>
        <w:rPr>
          <w:rFonts w:hint="eastAsia" w:ascii="仿宋_GB2312" w:hAnsi="仿宋_GB2312" w:eastAsia="仿宋_GB2312" w:cs="仿宋_GB2312"/>
          <w:color w:val="000000"/>
          <w:sz w:val="32"/>
          <w:szCs w:val="36"/>
        </w:rPr>
        <w:t>商务部分和技术部分评分标准规定的评审因素和分值计算出得分，评分分值计算保留小数点后两位，小数点后第三位“四舍五入”，投标人综合得分（满分 100 分）=</w:t>
      </w:r>
      <w:r>
        <w:rPr>
          <w:rFonts w:hint="eastAsia" w:ascii="仿宋_GB2312" w:hAnsi="仿宋_GB2312" w:eastAsia="仿宋_GB2312" w:cs="仿宋_GB2312"/>
          <w:color w:val="000000"/>
          <w:sz w:val="32"/>
          <w:szCs w:val="36"/>
          <w:lang w:val="en-US" w:eastAsia="zh-CN"/>
        </w:rPr>
        <w:t>价格得分（70分）+</w:t>
      </w:r>
      <w:r>
        <w:rPr>
          <w:rFonts w:hint="eastAsia" w:ascii="仿宋_GB2312" w:hAnsi="仿宋_GB2312" w:eastAsia="仿宋_GB2312" w:cs="仿宋_GB2312"/>
          <w:color w:val="000000"/>
          <w:sz w:val="32"/>
          <w:szCs w:val="36"/>
        </w:rPr>
        <w:t>商务得分（</w:t>
      </w:r>
      <w:r>
        <w:rPr>
          <w:rFonts w:hint="eastAsia" w:ascii="仿宋_GB2312" w:hAnsi="仿宋_GB2312" w:eastAsia="仿宋_GB2312" w:cs="仿宋_GB2312"/>
          <w:color w:val="000000"/>
          <w:sz w:val="32"/>
          <w:szCs w:val="36"/>
          <w:lang w:val="en-US" w:eastAsia="zh-CN"/>
        </w:rPr>
        <w:t>15</w:t>
      </w:r>
      <w:r>
        <w:rPr>
          <w:rFonts w:hint="eastAsia" w:ascii="仿宋_GB2312" w:hAnsi="仿宋_GB2312" w:eastAsia="仿宋_GB2312" w:cs="仿宋_GB2312"/>
          <w:color w:val="000000"/>
          <w:sz w:val="32"/>
          <w:szCs w:val="36"/>
        </w:rPr>
        <w:t>分）+技术得分（</w:t>
      </w:r>
      <w:r>
        <w:rPr>
          <w:rFonts w:hint="eastAsia" w:ascii="仿宋_GB2312" w:hAnsi="仿宋_GB2312" w:eastAsia="仿宋_GB2312" w:cs="仿宋_GB2312"/>
          <w:color w:val="000000"/>
          <w:sz w:val="32"/>
          <w:szCs w:val="36"/>
          <w:lang w:val="en-US" w:eastAsia="zh-CN"/>
        </w:rPr>
        <w:t>15</w:t>
      </w:r>
      <w:r>
        <w:rPr>
          <w:rFonts w:hint="eastAsia" w:ascii="仿宋_GB2312" w:hAnsi="仿宋_GB2312" w:eastAsia="仿宋_GB2312" w:cs="仿宋_GB2312"/>
          <w:color w:val="000000"/>
          <w:sz w:val="32"/>
          <w:szCs w:val="36"/>
        </w:rPr>
        <w:t>分）。</w:t>
      </w:r>
      <w:r>
        <w:rPr>
          <w:rFonts w:hint="eastAsia" w:ascii="仿宋_GB2312" w:hAnsi="仿宋_GB2312" w:eastAsia="仿宋_GB2312" w:cs="仿宋_GB2312"/>
          <w:color w:val="000000"/>
          <w:sz w:val="32"/>
          <w:szCs w:val="36"/>
          <w:lang w:val="en-US" w:eastAsia="zh-CN"/>
        </w:rPr>
        <w:t>若综合得分相同，则优先考虑服务政府单位或国有文化企业经验更多；若经验相同，则优先考虑提供服务案例阅读量综合更大的投标供应商。</w:t>
      </w:r>
    </w:p>
    <w:p w14:paraId="4589F7D3">
      <w:pPr>
        <w:spacing w:line="560" w:lineRule="exact"/>
        <w:ind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价格部分、</w:t>
      </w:r>
      <w:r>
        <w:rPr>
          <w:rFonts w:hint="eastAsia" w:ascii="仿宋_GB2312" w:hAnsi="仿宋_GB2312" w:eastAsia="仿宋_GB2312" w:cs="仿宋_GB2312"/>
          <w:b/>
          <w:bCs/>
          <w:color w:val="000000" w:themeColor="text1"/>
          <w:sz w:val="32"/>
          <w:szCs w:val="32"/>
          <w14:textFill>
            <w14:solidFill>
              <w14:schemeClr w14:val="tx1"/>
            </w14:solidFill>
          </w14:textFill>
        </w:rPr>
        <w:t>商务部分、技术部分权重表》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2407"/>
        <w:gridCol w:w="2407"/>
        <w:gridCol w:w="2252"/>
      </w:tblGrid>
      <w:tr w14:paraId="2507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54" w:type="dxa"/>
            <w:vAlign w:val="center"/>
          </w:tcPr>
          <w:p w14:paraId="0074938A">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权重名称</w:t>
            </w:r>
          </w:p>
        </w:tc>
        <w:tc>
          <w:tcPr>
            <w:tcW w:w="2407" w:type="dxa"/>
            <w:vAlign w:val="center"/>
          </w:tcPr>
          <w:p w14:paraId="1C0A923B">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lang w:val="en-US" w:eastAsia="zh-CN"/>
              </w:rPr>
            </w:pPr>
            <w:r>
              <w:rPr>
                <w:rFonts w:hint="eastAsia" w:ascii="楷体_GB2312" w:hAnsi="楷体_GB2312" w:eastAsia="楷体_GB2312" w:cs="楷体_GB2312"/>
                <w:b w:val="0"/>
                <w:bCs w:val="0"/>
                <w:color w:val="000000"/>
                <w:sz w:val="24"/>
                <w:szCs w:val="18"/>
                <w:lang w:val="en-US" w:eastAsia="zh-CN"/>
              </w:rPr>
              <w:t>价格权重</w:t>
            </w:r>
          </w:p>
        </w:tc>
        <w:tc>
          <w:tcPr>
            <w:tcW w:w="2407" w:type="dxa"/>
            <w:vAlign w:val="center"/>
          </w:tcPr>
          <w:p w14:paraId="134CB8A7">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商务权重</w:t>
            </w:r>
          </w:p>
        </w:tc>
        <w:tc>
          <w:tcPr>
            <w:tcW w:w="2252" w:type="dxa"/>
            <w:vAlign w:val="center"/>
          </w:tcPr>
          <w:p w14:paraId="015495E5">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技术权重</w:t>
            </w:r>
          </w:p>
        </w:tc>
      </w:tr>
      <w:tr w14:paraId="2AC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vAlign w:val="center"/>
          </w:tcPr>
          <w:p w14:paraId="1F35879C">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权重</w:t>
            </w:r>
          </w:p>
        </w:tc>
        <w:tc>
          <w:tcPr>
            <w:tcW w:w="2407" w:type="dxa"/>
            <w:vAlign w:val="center"/>
          </w:tcPr>
          <w:p w14:paraId="3DAE3F0D">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lang w:val="en-US" w:eastAsia="zh-CN"/>
              </w:rPr>
            </w:pPr>
            <w:r>
              <w:rPr>
                <w:rFonts w:hint="eastAsia" w:ascii="仿宋_GB2312" w:hAnsi="仿宋_GB2312" w:eastAsia="仿宋_GB2312" w:cs="仿宋_GB2312"/>
                <w:b w:val="0"/>
                <w:bCs w:val="0"/>
                <w:color w:val="000000"/>
                <w:sz w:val="24"/>
                <w:szCs w:val="18"/>
                <w:lang w:val="en-US" w:eastAsia="zh-CN"/>
              </w:rPr>
              <w:t>70%</w:t>
            </w:r>
          </w:p>
        </w:tc>
        <w:tc>
          <w:tcPr>
            <w:tcW w:w="2407" w:type="dxa"/>
            <w:vAlign w:val="center"/>
          </w:tcPr>
          <w:p w14:paraId="63A0322D">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rPr>
            </w:pPr>
            <w:r>
              <w:rPr>
                <w:rFonts w:hint="eastAsia" w:ascii="仿宋_GB2312" w:hAnsi="仿宋_GB2312" w:eastAsia="仿宋_GB2312" w:cs="仿宋_GB2312"/>
                <w:b w:val="0"/>
                <w:bCs w:val="0"/>
                <w:color w:val="000000"/>
                <w:sz w:val="24"/>
                <w:szCs w:val="18"/>
                <w:lang w:val="en-US" w:eastAsia="zh-CN"/>
              </w:rPr>
              <w:t>15</w:t>
            </w:r>
            <w:r>
              <w:rPr>
                <w:rFonts w:hint="eastAsia" w:ascii="仿宋_GB2312" w:hAnsi="仿宋_GB2312" w:eastAsia="仿宋_GB2312" w:cs="仿宋_GB2312"/>
                <w:b w:val="0"/>
                <w:bCs w:val="0"/>
                <w:color w:val="000000"/>
                <w:sz w:val="24"/>
                <w:szCs w:val="18"/>
              </w:rPr>
              <w:t>%</w:t>
            </w:r>
          </w:p>
        </w:tc>
        <w:tc>
          <w:tcPr>
            <w:tcW w:w="2252" w:type="dxa"/>
            <w:vAlign w:val="center"/>
          </w:tcPr>
          <w:p w14:paraId="13B1E5A1">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rPr>
            </w:pPr>
            <w:r>
              <w:rPr>
                <w:rFonts w:hint="eastAsia" w:ascii="仿宋_GB2312" w:hAnsi="仿宋_GB2312" w:eastAsia="仿宋_GB2312" w:cs="仿宋_GB2312"/>
                <w:b w:val="0"/>
                <w:bCs w:val="0"/>
                <w:color w:val="000000"/>
                <w:sz w:val="24"/>
                <w:szCs w:val="18"/>
                <w:lang w:val="en-US" w:eastAsia="zh-CN"/>
              </w:rPr>
              <w:t>15</w:t>
            </w:r>
            <w:r>
              <w:rPr>
                <w:rFonts w:hint="eastAsia" w:ascii="仿宋_GB2312" w:hAnsi="仿宋_GB2312" w:eastAsia="仿宋_GB2312" w:cs="仿宋_GB2312"/>
                <w:b w:val="0"/>
                <w:bCs w:val="0"/>
                <w:color w:val="000000"/>
                <w:sz w:val="24"/>
                <w:szCs w:val="18"/>
              </w:rPr>
              <w:t>%</w:t>
            </w:r>
          </w:p>
        </w:tc>
      </w:tr>
      <w:tr w14:paraId="1519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vAlign w:val="center"/>
          </w:tcPr>
          <w:p w14:paraId="1AAD1AD9">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满分</w:t>
            </w:r>
          </w:p>
        </w:tc>
        <w:tc>
          <w:tcPr>
            <w:tcW w:w="2407" w:type="dxa"/>
            <w:vAlign w:val="center"/>
          </w:tcPr>
          <w:p w14:paraId="1787D1B2">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lang w:val="en-US" w:eastAsia="zh-CN"/>
              </w:rPr>
            </w:pPr>
            <w:r>
              <w:rPr>
                <w:rFonts w:hint="eastAsia" w:ascii="仿宋_GB2312" w:hAnsi="仿宋_GB2312" w:eastAsia="仿宋_GB2312" w:cs="仿宋_GB2312"/>
                <w:b w:val="0"/>
                <w:bCs w:val="0"/>
                <w:color w:val="000000"/>
                <w:sz w:val="24"/>
                <w:szCs w:val="18"/>
                <w:lang w:val="en-US" w:eastAsia="zh-CN"/>
              </w:rPr>
              <w:t>70分</w:t>
            </w:r>
          </w:p>
        </w:tc>
        <w:tc>
          <w:tcPr>
            <w:tcW w:w="2407" w:type="dxa"/>
            <w:vAlign w:val="center"/>
          </w:tcPr>
          <w:p w14:paraId="7DEBB671">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rPr>
            </w:pPr>
            <w:r>
              <w:rPr>
                <w:rFonts w:hint="eastAsia" w:ascii="仿宋_GB2312" w:hAnsi="仿宋_GB2312" w:eastAsia="仿宋_GB2312" w:cs="仿宋_GB2312"/>
                <w:b w:val="0"/>
                <w:bCs w:val="0"/>
                <w:color w:val="000000"/>
                <w:sz w:val="24"/>
                <w:szCs w:val="18"/>
                <w:lang w:val="en-US" w:eastAsia="zh-CN"/>
              </w:rPr>
              <w:t>15</w:t>
            </w:r>
            <w:r>
              <w:rPr>
                <w:rFonts w:hint="eastAsia" w:ascii="仿宋_GB2312" w:hAnsi="仿宋_GB2312" w:eastAsia="仿宋_GB2312" w:cs="仿宋_GB2312"/>
                <w:b w:val="0"/>
                <w:bCs w:val="0"/>
                <w:color w:val="000000"/>
                <w:sz w:val="24"/>
                <w:szCs w:val="18"/>
              </w:rPr>
              <w:t>分</w:t>
            </w:r>
          </w:p>
        </w:tc>
        <w:tc>
          <w:tcPr>
            <w:tcW w:w="2252" w:type="dxa"/>
            <w:vAlign w:val="center"/>
          </w:tcPr>
          <w:p w14:paraId="56C3156B">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rPr>
            </w:pPr>
            <w:r>
              <w:rPr>
                <w:rFonts w:hint="eastAsia" w:ascii="仿宋_GB2312" w:hAnsi="仿宋_GB2312" w:eastAsia="仿宋_GB2312" w:cs="仿宋_GB2312"/>
                <w:b w:val="0"/>
                <w:bCs w:val="0"/>
                <w:color w:val="000000"/>
                <w:sz w:val="24"/>
                <w:szCs w:val="18"/>
                <w:lang w:val="en-US" w:eastAsia="zh-CN"/>
              </w:rPr>
              <w:t>15</w:t>
            </w:r>
            <w:r>
              <w:rPr>
                <w:rFonts w:hint="eastAsia" w:ascii="仿宋_GB2312" w:hAnsi="仿宋_GB2312" w:eastAsia="仿宋_GB2312" w:cs="仿宋_GB2312"/>
                <w:b w:val="0"/>
                <w:bCs w:val="0"/>
                <w:color w:val="000000"/>
                <w:sz w:val="24"/>
                <w:szCs w:val="18"/>
              </w:rPr>
              <w:t>分</w:t>
            </w:r>
          </w:p>
        </w:tc>
      </w:tr>
      <w:tr w14:paraId="2302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vAlign w:val="center"/>
          </w:tcPr>
          <w:p w14:paraId="123D07FF">
            <w:pPr>
              <w:keepNext w:val="0"/>
              <w:keepLines w:val="0"/>
              <w:suppressLineNumbers w:val="0"/>
              <w:spacing w:before="0" w:beforeAutospacing="0" w:after="0" w:afterAutospacing="0" w:line="400" w:lineRule="exact"/>
              <w:ind w:left="0" w:right="0" w:firstLine="0" w:firstLineChars="0"/>
              <w:jc w:val="both"/>
              <w:rPr>
                <w:rFonts w:hint="eastAsia" w:ascii="楷体_GB2312" w:hAnsi="楷体_GB2312" w:eastAsia="楷体_GB2312" w:cs="楷体_GB2312"/>
                <w:b w:val="0"/>
                <w:bCs w:val="0"/>
                <w:color w:val="000000"/>
                <w:sz w:val="24"/>
                <w:szCs w:val="18"/>
              </w:rPr>
            </w:pPr>
            <w:r>
              <w:rPr>
                <w:rFonts w:hint="eastAsia" w:ascii="楷体_GB2312" w:hAnsi="楷体_GB2312" w:eastAsia="楷体_GB2312" w:cs="楷体_GB2312"/>
                <w:b w:val="0"/>
                <w:bCs w:val="0"/>
                <w:color w:val="000000"/>
                <w:sz w:val="24"/>
                <w:szCs w:val="18"/>
              </w:rPr>
              <w:t>投标人综合得分</w:t>
            </w:r>
          </w:p>
        </w:tc>
        <w:tc>
          <w:tcPr>
            <w:tcW w:w="7066" w:type="dxa"/>
            <w:gridSpan w:val="3"/>
            <w:vAlign w:val="center"/>
          </w:tcPr>
          <w:p w14:paraId="4A686BF9">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b w:val="0"/>
                <w:bCs w:val="0"/>
                <w:color w:val="000000"/>
                <w:sz w:val="24"/>
                <w:szCs w:val="18"/>
              </w:rPr>
            </w:pPr>
            <w:r>
              <w:rPr>
                <w:rFonts w:hint="eastAsia" w:ascii="仿宋_GB2312" w:hAnsi="仿宋_GB2312" w:eastAsia="仿宋_GB2312" w:cs="仿宋_GB2312"/>
                <w:b w:val="0"/>
                <w:bCs w:val="0"/>
                <w:color w:val="000000"/>
                <w:sz w:val="24"/>
                <w:szCs w:val="18"/>
                <w:lang w:val="en-US" w:eastAsia="zh-CN"/>
              </w:rPr>
              <w:t>价格得分+</w:t>
            </w:r>
            <w:r>
              <w:rPr>
                <w:rFonts w:hint="eastAsia" w:ascii="仿宋_GB2312" w:hAnsi="仿宋_GB2312" w:eastAsia="仿宋_GB2312" w:cs="仿宋_GB2312"/>
                <w:b w:val="0"/>
                <w:bCs w:val="0"/>
                <w:color w:val="000000"/>
                <w:sz w:val="24"/>
                <w:szCs w:val="18"/>
              </w:rPr>
              <w:t>商务得分+技术得分</w:t>
            </w:r>
          </w:p>
        </w:tc>
      </w:tr>
    </w:tbl>
    <w:p w14:paraId="064EDFD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default" w:ascii="仿宋_GB2312" w:hAnsi="仿宋_GB2312" w:eastAsia="仿宋_GB2312" w:cs="仿宋_GB2312"/>
          <w:color w:val="000000"/>
          <w:sz w:val="32"/>
          <w:szCs w:val="36"/>
          <w:lang w:val="en-US" w:eastAsia="zh-CN"/>
        </w:rPr>
        <w:t>1.</w:t>
      </w:r>
      <w:r>
        <w:rPr>
          <w:rFonts w:hint="eastAsia" w:ascii="仿宋_GB2312" w:hAnsi="仿宋_GB2312" w:eastAsia="仿宋_GB2312" w:cs="仿宋_GB2312"/>
          <w:color w:val="000000"/>
          <w:sz w:val="32"/>
          <w:szCs w:val="36"/>
        </w:rPr>
        <w:t>价格分计算方法</w:t>
      </w:r>
    </w:p>
    <w:p w14:paraId="3D81B77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eastAsia" w:ascii="仿宋_GB2312" w:hAnsi="仿宋_GB2312" w:eastAsia="仿宋_GB2312" w:cs="仿宋_GB2312"/>
          <w:color w:val="000000"/>
          <w:sz w:val="32"/>
          <w:szCs w:val="36"/>
          <w:lang w:eastAsia="zh-CN"/>
        </w:rPr>
        <w:t>（</w:t>
      </w:r>
      <w:r>
        <w:rPr>
          <w:rFonts w:hint="eastAsia" w:ascii="仿宋_GB2312" w:hAnsi="仿宋_GB2312" w:eastAsia="仿宋_GB2312" w:cs="仿宋_GB2312"/>
          <w:color w:val="000000"/>
          <w:sz w:val="32"/>
          <w:szCs w:val="36"/>
          <w:lang w:val="en-US" w:eastAsia="zh-CN"/>
        </w:rPr>
        <w:t>1）</w:t>
      </w:r>
      <w:r>
        <w:rPr>
          <w:rFonts w:hint="eastAsia" w:ascii="仿宋_GB2312" w:hAnsi="仿宋_GB2312" w:eastAsia="仿宋_GB2312" w:cs="仿宋_GB2312"/>
          <w:color w:val="000000"/>
          <w:sz w:val="32"/>
          <w:szCs w:val="36"/>
        </w:rPr>
        <w:t xml:space="preserve">确定评审基准价：本次竞争性谈判的评审基准价，是所有通过资格评审且报价不超过最高投标限价的所有有效投标报价的算术平均值； </w:t>
      </w:r>
    </w:p>
    <w:p w14:paraId="4BF6A28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eastAsia" w:ascii="仿宋_GB2312" w:hAnsi="仿宋_GB2312" w:eastAsia="仿宋_GB2312" w:cs="仿宋_GB2312"/>
          <w:color w:val="000000"/>
          <w:sz w:val="32"/>
          <w:szCs w:val="36"/>
          <w:lang w:eastAsia="zh-CN"/>
        </w:rPr>
        <w:t>（</w:t>
      </w:r>
      <w:r>
        <w:rPr>
          <w:rFonts w:hint="eastAsia" w:ascii="仿宋_GB2312" w:hAnsi="仿宋_GB2312" w:eastAsia="仿宋_GB2312" w:cs="仿宋_GB2312"/>
          <w:color w:val="000000"/>
          <w:sz w:val="32"/>
          <w:szCs w:val="36"/>
          <w:lang w:val="en-US" w:eastAsia="zh-CN"/>
        </w:rPr>
        <w:t>2）</w:t>
      </w:r>
      <w:r>
        <w:rPr>
          <w:rFonts w:hint="eastAsia" w:ascii="仿宋_GB2312" w:hAnsi="仿宋_GB2312" w:eastAsia="仿宋_GB2312" w:cs="仿宋_GB2312"/>
          <w:color w:val="000000"/>
          <w:sz w:val="32"/>
          <w:szCs w:val="36"/>
        </w:rPr>
        <w:t>计算价格得分时，取基准分为</w:t>
      </w:r>
      <w:r>
        <w:rPr>
          <w:rFonts w:hint="eastAsia" w:ascii="仿宋_GB2312" w:hAnsi="仿宋_GB2312" w:eastAsia="仿宋_GB2312" w:cs="仿宋_GB2312"/>
          <w:color w:val="000000"/>
          <w:sz w:val="32"/>
          <w:szCs w:val="36"/>
          <w:lang w:val="en-US" w:eastAsia="zh-CN"/>
        </w:rPr>
        <w:t>7</w:t>
      </w:r>
      <w:r>
        <w:rPr>
          <w:rFonts w:hint="eastAsia" w:ascii="仿宋_GB2312" w:hAnsi="仿宋_GB2312" w:eastAsia="仿宋_GB2312" w:cs="仿宋_GB2312"/>
          <w:color w:val="000000"/>
          <w:sz w:val="32"/>
          <w:szCs w:val="36"/>
        </w:rPr>
        <w:t xml:space="preserve">0分，各投标人的价格分统一按照下列公式计算： </w:t>
      </w:r>
    </w:p>
    <w:p w14:paraId="49E7140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eastAsia" w:ascii="仿宋_GB2312" w:hAnsi="仿宋_GB2312" w:eastAsia="仿宋_GB2312" w:cs="仿宋_GB2312"/>
          <w:color w:val="000000"/>
          <w:sz w:val="32"/>
          <w:szCs w:val="36"/>
        </w:rPr>
        <w:t>投标报价得分=(1－|（投标报价-基准价）/基准价|)×</w:t>
      </w:r>
      <w:r>
        <w:rPr>
          <w:rFonts w:hint="eastAsia" w:ascii="仿宋_GB2312" w:hAnsi="仿宋_GB2312" w:eastAsia="仿宋_GB2312" w:cs="仿宋_GB2312"/>
          <w:color w:val="000000"/>
          <w:sz w:val="32"/>
          <w:szCs w:val="36"/>
          <w:lang w:val="en-US" w:eastAsia="zh-CN"/>
        </w:rPr>
        <w:t>7</w:t>
      </w:r>
      <w:r>
        <w:rPr>
          <w:rFonts w:hint="eastAsia" w:ascii="仿宋_GB2312" w:hAnsi="仿宋_GB2312" w:eastAsia="仿宋_GB2312" w:cs="仿宋_GB2312"/>
          <w:color w:val="000000"/>
          <w:sz w:val="32"/>
          <w:szCs w:val="36"/>
        </w:rPr>
        <w:t>0。</w:t>
      </w:r>
    </w:p>
    <w:p w14:paraId="769633A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响应文件存在响应报价问题的，应进行响应报价的算术修正，响应报价算术修正按有利于采购人的原则进行，具体修正原则为：报价表与响应文件其他资料中的报价不一致的，以报价表为准；大写金额与小写金额不一致的，以大写金额为准（有明显错误的除外）。</w:t>
      </w:r>
    </w:p>
    <w:p w14:paraId="4C2C4B9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采购评审中出现下列情形之一的，评审委员会应当启动异常低价投标（响应）审查程序：</w:t>
      </w:r>
    </w:p>
    <w:p w14:paraId="13528EB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投标（响应）报价低于全部通过符合性审查供应商投标（响应）报价平均值50%的，即投标（响应）报价&lt;全部通过符合性审查供应商投标（响应）报价平均值×50%；</w:t>
      </w:r>
    </w:p>
    <w:p w14:paraId="69A2137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投标（响应）报价低于通过符合性审查且报价次低供应商投标（响应）报价50%的，即投标（响应）报价&lt;通过符合性审查且报价次低供应商投标（响应）报价×50%；</w:t>
      </w:r>
    </w:p>
    <w:p w14:paraId="01891B8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投标（响应）报价低于采购项目最高限价45%的，即投标（响应）报价&lt;采购项目最高限价×45%；</w:t>
      </w:r>
    </w:p>
    <w:p w14:paraId="1563D89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其他评审委员会认为供应商报价过低，有可能影响产品质量或者不能诚信履约的情形。</w:t>
      </w:r>
    </w:p>
    <w:p w14:paraId="446372F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eastAsia" w:ascii="仿宋_GB2312" w:hAnsi="仿宋_GB2312" w:eastAsia="仿宋_GB2312" w:cs="仿宋_GB2312"/>
          <w:color w:val="000000"/>
          <w:sz w:val="32"/>
          <w:szCs w:val="36"/>
          <w:lang w:val="en-US" w:eastAsia="zh-CN"/>
        </w:rPr>
        <w:t>2.</w:t>
      </w:r>
      <w:r>
        <w:rPr>
          <w:rFonts w:hint="eastAsia" w:ascii="仿宋_GB2312" w:hAnsi="仿宋_GB2312" w:eastAsia="仿宋_GB2312" w:cs="仿宋_GB2312"/>
          <w:color w:val="000000"/>
          <w:sz w:val="32"/>
          <w:szCs w:val="36"/>
        </w:rPr>
        <w:t>商务部分的评分标准</w:t>
      </w:r>
    </w:p>
    <w:tbl>
      <w:tblPr>
        <w:tblStyle w:val="12"/>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8"/>
        <w:gridCol w:w="993"/>
        <w:gridCol w:w="1562"/>
        <w:gridCol w:w="4108"/>
      </w:tblGrid>
      <w:tr w14:paraId="3B29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81" w:type="dxa"/>
            <w:gridSpan w:val="4"/>
            <w:vAlign w:val="center"/>
          </w:tcPr>
          <w:p w14:paraId="332EB3BA">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评分项</w:t>
            </w:r>
          </w:p>
        </w:tc>
        <w:tc>
          <w:tcPr>
            <w:tcW w:w="4108" w:type="dxa"/>
            <w:vAlign w:val="center"/>
          </w:tcPr>
          <w:p w14:paraId="21B1C043">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分值</w:t>
            </w:r>
          </w:p>
        </w:tc>
      </w:tr>
      <w:tr w14:paraId="6A6C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8" w:type="dxa"/>
            <w:vAlign w:val="center"/>
          </w:tcPr>
          <w:p w14:paraId="77C9AC65">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序号</w:t>
            </w:r>
          </w:p>
        </w:tc>
        <w:tc>
          <w:tcPr>
            <w:tcW w:w="1138" w:type="dxa"/>
            <w:vAlign w:val="center"/>
          </w:tcPr>
          <w:p w14:paraId="0EE7A232">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评分因素</w:t>
            </w:r>
          </w:p>
        </w:tc>
        <w:tc>
          <w:tcPr>
            <w:tcW w:w="993" w:type="dxa"/>
            <w:vAlign w:val="center"/>
          </w:tcPr>
          <w:p w14:paraId="6746033F">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分值</w:t>
            </w:r>
          </w:p>
        </w:tc>
        <w:tc>
          <w:tcPr>
            <w:tcW w:w="1562" w:type="dxa"/>
            <w:vAlign w:val="center"/>
          </w:tcPr>
          <w:p w14:paraId="03F772BD">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评分方式</w:t>
            </w:r>
          </w:p>
        </w:tc>
        <w:tc>
          <w:tcPr>
            <w:tcW w:w="4108" w:type="dxa"/>
            <w:vAlign w:val="center"/>
          </w:tcPr>
          <w:p w14:paraId="46F970E3">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评分准则</w:t>
            </w:r>
          </w:p>
        </w:tc>
      </w:tr>
      <w:tr w14:paraId="0DD5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F549242">
            <w:pPr>
              <w:keepNext w:val="0"/>
              <w:keepLines w:val="0"/>
              <w:suppressLineNumbers w:val="0"/>
              <w:spacing w:before="0" w:beforeAutospacing="0" w:after="0" w:afterAutospacing="0" w:line="400" w:lineRule="exact"/>
              <w:ind w:left="0" w:right="0" w:firstLine="148" w:firstLineChars="62"/>
              <w:jc w:val="both"/>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1</w:t>
            </w:r>
          </w:p>
        </w:tc>
        <w:tc>
          <w:tcPr>
            <w:tcW w:w="1138" w:type="dxa"/>
            <w:vAlign w:val="center"/>
          </w:tcPr>
          <w:p w14:paraId="4A7BE650">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供应商业绩</w:t>
            </w:r>
          </w:p>
        </w:tc>
        <w:tc>
          <w:tcPr>
            <w:tcW w:w="993" w:type="dxa"/>
            <w:vAlign w:val="center"/>
          </w:tcPr>
          <w:p w14:paraId="0E3F59F7">
            <w:pPr>
              <w:keepNext w:val="0"/>
              <w:keepLines w:val="0"/>
              <w:suppressLineNumbers w:val="0"/>
              <w:spacing w:before="0" w:beforeAutospacing="0" w:after="0" w:afterAutospacing="0" w:line="400" w:lineRule="exact"/>
              <w:ind w:left="0" w:right="0" w:firstLine="148" w:firstLineChars="62"/>
              <w:jc w:val="both"/>
              <w:rPr>
                <w:rFonts w:hint="default" w:ascii="仿宋_GB2312" w:hAnsi="仿宋_GB2312" w:eastAsia="仿宋_GB2312" w:cs="仿宋_GB2312"/>
                <w:color w:val="000000"/>
                <w:sz w:val="24"/>
                <w:szCs w:val="18"/>
                <w:lang w:val="en-US" w:eastAsia="zh-CN"/>
              </w:rPr>
            </w:pPr>
            <w:r>
              <w:rPr>
                <w:rFonts w:hint="eastAsia" w:ascii="仿宋_GB2312" w:hAnsi="仿宋_GB2312" w:eastAsia="仿宋_GB2312" w:cs="仿宋_GB2312"/>
                <w:color w:val="000000"/>
                <w:sz w:val="24"/>
                <w:szCs w:val="18"/>
                <w:lang w:val="en-US" w:eastAsia="zh-CN"/>
              </w:rPr>
              <w:t>15</w:t>
            </w:r>
          </w:p>
        </w:tc>
        <w:tc>
          <w:tcPr>
            <w:tcW w:w="1562" w:type="dxa"/>
            <w:vAlign w:val="center"/>
          </w:tcPr>
          <w:p w14:paraId="2F6B1679">
            <w:pPr>
              <w:keepNext w:val="0"/>
              <w:keepLines w:val="0"/>
              <w:suppressLineNumbers w:val="0"/>
              <w:spacing w:before="0" w:beforeAutospacing="0" w:after="0" w:afterAutospacing="0" w:line="400" w:lineRule="exact"/>
              <w:ind w:left="0" w:right="0" w:firstLine="0" w:firstLineChars="0"/>
              <w:jc w:val="both"/>
              <w:rPr>
                <w:rFonts w:hint="default" w:ascii="仿宋_GB2312" w:hAnsi="仿宋_GB2312" w:eastAsia="仿宋_GB2312" w:cs="仿宋_GB2312"/>
                <w:color w:val="000000"/>
                <w:sz w:val="24"/>
                <w:szCs w:val="18"/>
                <w:lang w:val="en-US" w:eastAsia="zh-CN"/>
              </w:rPr>
            </w:pPr>
            <w:r>
              <w:rPr>
                <w:rFonts w:hint="eastAsia" w:ascii="仿宋_GB2312" w:hAnsi="仿宋_GB2312" w:eastAsia="仿宋_GB2312" w:cs="仿宋_GB2312"/>
                <w:color w:val="000000"/>
                <w:sz w:val="24"/>
                <w:szCs w:val="18"/>
                <w:lang w:val="en-US" w:eastAsia="zh-CN"/>
              </w:rPr>
              <w:t>评审人员评分</w:t>
            </w:r>
          </w:p>
        </w:tc>
        <w:tc>
          <w:tcPr>
            <w:tcW w:w="4108" w:type="dxa"/>
          </w:tcPr>
          <w:p w14:paraId="1B6550E4">
            <w:pPr>
              <w:keepNext w:val="0"/>
              <w:keepLines w:val="0"/>
              <w:widowControl w:val="0"/>
              <w:suppressLineNumbers w:val="0"/>
              <w:spacing w:before="0" w:beforeAutospacing="0" w:after="0" w:afterAutospacing="0"/>
              <w:ind w:left="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（一）评分标准：</w:t>
            </w:r>
            <w:r>
              <w:rPr>
                <w:rFonts w:hint="eastAsia" w:ascii="仿宋_GB2312" w:hAnsi="仿宋_GB2312" w:eastAsia="仿宋_GB2312" w:cs="仿宋_GB2312"/>
                <w:sz w:val="24"/>
                <w:szCs w:val="24"/>
              </w:rPr>
              <w:t>提供2023年（含）以来同类型文化类案例，每服务过一家政府单位或国有文化企业可获得</w:t>
            </w:r>
            <w:r>
              <w:rPr>
                <w:rFonts w:hint="eastAsia" w:ascii="仿宋_GB2312" w:hAnsi="仿宋_GB2312" w:eastAsia="仿宋_GB2312" w:cs="仿宋_GB2312"/>
                <w:sz w:val="24"/>
                <w:szCs w:val="24"/>
                <w:u w:val="single"/>
              </w:rPr>
              <w:t xml:space="preserve"> 3 </w:t>
            </w:r>
            <w:r>
              <w:rPr>
                <w:rFonts w:hint="eastAsia" w:ascii="仿宋_GB2312" w:hAnsi="仿宋_GB2312" w:eastAsia="仿宋_GB2312" w:cs="仿宋_GB2312"/>
                <w:sz w:val="24"/>
                <w:szCs w:val="24"/>
              </w:rPr>
              <w:t>分，每服务过一家私营企业可获得</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分，满分</w:t>
            </w:r>
            <w:r>
              <w:rPr>
                <w:rFonts w:hint="eastAsia" w:ascii="仿宋_GB2312" w:hAnsi="仿宋_GB2312" w:eastAsia="仿宋_GB2312" w:cs="仿宋_GB2312"/>
                <w:sz w:val="24"/>
                <w:szCs w:val="24"/>
                <w:u w:val="single"/>
              </w:rPr>
              <w:t>15</w:t>
            </w:r>
            <w:r>
              <w:rPr>
                <w:rFonts w:hint="eastAsia" w:ascii="仿宋_GB2312" w:hAnsi="仿宋_GB2312" w:eastAsia="仿宋_GB2312" w:cs="仿宋_GB2312"/>
                <w:sz w:val="24"/>
                <w:szCs w:val="24"/>
              </w:rPr>
              <w:t>分。</w:t>
            </w:r>
          </w:p>
          <w:p w14:paraId="3453CC6A">
            <w:pPr>
              <w:keepNext w:val="0"/>
              <w:keepLines w:val="0"/>
              <w:widowControl w:val="0"/>
              <w:suppressLineNumbers w:val="0"/>
              <w:spacing w:before="0" w:beforeAutospacing="0" w:after="0" w:afterAutospacing="0"/>
              <w:ind w:left="0" w:right="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000000"/>
                <w:sz w:val="24"/>
                <w:szCs w:val="24"/>
              </w:rPr>
              <w:t>（二）证明文件：</w:t>
            </w:r>
            <w:bookmarkStart w:id="10" w:name="_Hlk193363490"/>
            <w:r>
              <w:rPr>
                <w:rFonts w:hint="eastAsia" w:ascii="仿宋_GB2312" w:hAnsi="仿宋_GB2312" w:eastAsia="仿宋_GB2312" w:cs="仿宋_GB2312"/>
                <w:color w:val="000000"/>
                <w:sz w:val="24"/>
                <w:szCs w:val="24"/>
              </w:rPr>
              <w:t>1.提供《供应商</w:t>
            </w:r>
            <w:r>
              <w:rPr>
                <w:rFonts w:hint="eastAsia" w:ascii="仿宋_GB2312" w:hAnsi="仿宋_GB2312" w:eastAsia="仿宋_GB2312" w:cs="仿宋_GB2312"/>
                <w:color w:val="000000"/>
                <w:sz w:val="24"/>
                <w:szCs w:val="24"/>
                <w:lang w:val="en-US" w:eastAsia="zh-CN"/>
              </w:rPr>
              <w:t>商务</w:t>
            </w:r>
            <w:r>
              <w:rPr>
                <w:rFonts w:hint="eastAsia" w:ascii="仿宋_GB2312" w:hAnsi="仿宋_GB2312" w:eastAsia="仿宋_GB2312" w:cs="仿宋_GB2312"/>
                <w:color w:val="000000"/>
                <w:sz w:val="24"/>
                <w:szCs w:val="24"/>
              </w:rPr>
              <w:t>业绩一览表》，并按表格顺序提供出具的</w:t>
            </w:r>
            <w:r>
              <w:rPr>
                <w:rFonts w:hint="eastAsia" w:ascii="仿宋_GB2312" w:hAnsi="仿宋_GB2312" w:eastAsia="仿宋_GB2312" w:cs="仿宋_GB2312"/>
                <w:color w:val="000000"/>
                <w:sz w:val="24"/>
                <w:szCs w:val="24"/>
                <w:lang w:val="en-US" w:eastAsia="zh-CN"/>
              </w:rPr>
              <w:t>合同</w:t>
            </w:r>
            <w:r>
              <w:rPr>
                <w:rFonts w:hint="eastAsia" w:ascii="仿宋_GB2312" w:hAnsi="仿宋_GB2312" w:eastAsia="仿宋_GB2312" w:cs="仿宋_GB2312"/>
                <w:color w:val="000000"/>
                <w:sz w:val="24"/>
                <w:szCs w:val="24"/>
              </w:rPr>
              <w:t>关键页扫描件（须清晰的反映</w:t>
            </w:r>
            <w:r>
              <w:rPr>
                <w:rFonts w:hint="eastAsia" w:ascii="仿宋_GB2312" w:hAnsi="仿宋_GB2312" w:eastAsia="仿宋_GB2312" w:cs="仿宋_GB2312"/>
                <w:color w:val="000000"/>
                <w:sz w:val="24"/>
                <w:szCs w:val="24"/>
                <w:lang w:val="en-US" w:eastAsia="zh-CN"/>
              </w:rPr>
              <w:t>合同</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lang w:val="en-US" w:eastAsia="zh-CN"/>
              </w:rPr>
              <w:t>服务内容、合同</w:t>
            </w:r>
            <w:r>
              <w:rPr>
                <w:rFonts w:hint="eastAsia" w:ascii="仿宋_GB2312" w:hAnsi="仿宋_GB2312" w:eastAsia="仿宋_GB2312" w:cs="仿宋_GB2312"/>
                <w:color w:val="000000"/>
                <w:sz w:val="24"/>
                <w:szCs w:val="24"/>
              </w:rPr>
              <w:t>签字页）；否则视为无效证明文件</w:t>
            </w:r>
            <w:bookmarkEnd w:id="10"/>
            <w:r>
              <w:rPr>
                <w:rFonts w:hint="eastAsia" w:ascii="仿宋_GB2312" w:hAnsi="仿宋_GB2312" w:eastAsia="仿宋_GB2312" w:cs="仿宋_GB2312"/>
                <w:color w:val="000000"/>
                <w:sz w:val="24"/>
                <w:szCs w:val="24"/>
                <w:lang w:eastAsia="zh-CN"/>
              </w:rPr>
              <w:t>。2.若响应文件提供的业绩多于五项的，只针对《供应商业绩一览表》前五项业绩及其证明资料进行打分。</w:t>
            </w:r>
          </w:p>
        </w:tc>
      </w:tr>
    </w:tbl>
    <w:p w14:paraId="602CFC4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6"/>
        </w:rPr>
      </w:pPr>
      <w:r>
        <w:rPr>
          <w:rFonts w:hint="eastAsia" w:ascii="仿宋_GB2312" w:hAnsi="仿宋_GB2312" w:eastAsia="仿宋_GB2312" w:cs="仿宋_GB2312"/>
          <w:color w:val="000000"/>
          <w:sz w:val="32"/>
          <w:szCs w:val="36"/>
          <w:lang w:val="en-US" w:eastAsia="zh-CN"/>
        </w:rPr>
        <w:t>3</w:t>
      </w:r>
      <w:r>
        <w:rPr>
          <w:rFonts w:hint="eastAsia" w:ascii="仿宋_GB2312" w:hAnsi="仿宋_GB2312" w:eastAsia="仿宋_GB2312" w:cs="仿宋_GB2312"/>
          <w:color w:val="000000"/>
          <w:sz w:val="32"/>
          <w:szCs w:val="36"/>
        </w:rPr>
        <w:t>.技术部分的评分标准：</w:t>
      </w:r>
    </w:p>
    <w:tbl>
      <w:tblPr>
        <w:tblStyle w:val="12"/>
        <w:tblW w:w="881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76"/>
        <w:gridCol w:w="927"/>
        <w:gridCol w:w="1559"/>
        <w:gridCol w:w="4133"/>
      </w:tblGrid>
      <w:tr w14:paraId="45CE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678" w:type="dxa"/>
            <w:gridSpan w:val="4"/>
            <w:vAlign w:val="center"/>
          </w:tcPr>
          <w:p w14:paraId="38D61E95">
            <w:pPr>
              <w:keepNext w:val="0"/>
              <w:keepLines w:val="0"/>
              <w:suppressLineNumbers w:val="0"/>
              <w:spacing w:before="0" w:beforeAutospacing="0" w:after="0" w:afterAutospacing="0" w:line="400" w:lineRule="exact"/>
              <w:ind w:left="0" w:right="0" w:firstLine="482"/>
              <w:jc w:val="center"/>
              <w:rPr>
                <w:rFonts w:hint="eastAsia" w:ascii="楷体_GB2312" w:hAnsi="楷体_GB2312" w:eastAsia="楷体_GB2312" w:cs="楷体_GB2312"/>
                <w:color w:val="000000"/>
                <w:sz w:val="24"/>
                <w:szCs w:val="18"/>
              </w:rPr>
            </w:pPr>
            <w:r>
              <w:rPr>
                <w:rFonts w:hint="eastAsia" w:ascii="楷体_GB2312" w:hAnsi="楷体_GB2312" w:eastAsia="楷体_GB2312" w:cs="楷体_GB2312"/>
                <w:b/>
                <w:bCs/>
                <w:color w:val="000000"/>
                <w:sz w:val="24"/>
                <w:szCs w:val="18"/>
              </w:rPr>
              <w:t>评分项</w:t>
            </w:r>
          </w:p>
        </w:tc>
        <w:tc>
          <w:tcPr>
            <w:tcW w:w="4133" w:type="dxa"/>
            <w:vAlign w:val="center"/>
          </w:tcPr>
          <w:p w14:paraId="09601339">
            <w:pPr>
              <w:keepNext w:val="0"/>
              <w:keepLines w:val="0"/>
              <w:suppressLineNumbers w:val="0"/>
              <w:spacing w:before="0" w:beforeAutospacing="0" w:after="0" w:afterAutospacing="0" w:line="400" w:lineRule="exact"/>
              <w:ind w:left="0" w:right="0" w:firstLine="482"/>
              <w:jc w:val="center"/>
              <w:rPr>
                <w:rFonts w:hint="eastAsia" w:ascii="楷体_GB2312" w:hAnsi="楷体_GB2312" w:eastAsia="楷体_GB2312" w:cs="楷体_GB2312"/>
                <w:color w:val="000000"/>
                <w:sz w:val="24"/>
                <w:szCs w:val="18"/>
              </w:rPr>
            </w:pPr>
            <w:r>
              <w:rPr>
                <w:rFonts w:hint="eastAsia" w:ascii="楷体_GB2312" w:hAnsi="楷体_GB2312" w:eastAsia="楷体_GB2312" w:cs="楷体_GB2312"/>
                <w:b/>
                <w:bCs/>
                <w:color w:val="000000"/>
                <w:sz w:val="24"/>
                <w:szCs w:val="18"/>
              </w:rPr>
              <w:t>分值</w:t>
            </w:r>
          </w:p>
        </w:tc>
      </w:tr>
      <w:tr w14:paraId="3C2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6" w:type="dxa"/>
            <w:vAlign w:val="center"/>
          </w:tcPr>
          <w:p w14:paraId="5776F9EB">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序号</w:t>
            </w:r>
          </w:p>
        </w:tc>
        <w:tc>
          <w:tcPr>
            <w:tcW w:w="1176" w:type="dxa"/>
            <w:vAlign w:val="center"/>
          </w:tcPr>
          <w:p w14:paraId="69E7996A">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评分因素</w:t>
            </w:r>
          </w:p>
        </w:tc>
        <w:tc>
          <w:tcPr>
            <w:tcW w:w="927" w:type="dxa"/>
            <w:vAlign w:val="center"/>
          </w:tcPr>
          <w:p w14:paraId="74F55803">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color w:val="000000"/>
                <w:sz w:val="24"/>
                <w:szCs w:val="18"/>
              </w:rPr>
            </w:pPr>
            <w:r>
              <w:rPr>
                <w:rFonts w:hint="eastAsia" w:ascii="楷体_GB2312" w:hAnsi="楷体_GB2312" w:eastAsia="楷体_GB2312" w:cs="楷体_GB2312"/>
                <w:b/>
                <w:bCs/>
                <w:color w:val="000000"/>
                <w:sz w:val="24"/>
                <w:szCs w:val="18"/>
              </w:rPr>
              <w:t>分值</w:t>
            </w:r>
          </w:p>
        </w:tc>
        <w:tc>
          <w:tcPr>
            <w:tcW w:w="1559" w:type="dxa"/>
            <w:vAlign w:val="center"/>
          </w:tcPr>
          <w:p w14:paraId="0C61F11A">
            <w:pPr>
              <w:keepNext w:val="0"/>
              <w:keepLines w:val="0"/>
              <w:suppressLineNumbers w:val="0"/>
              <w:spacing w:before="0" w:beforeAutospacing="0" w:after="0" w:afterAutospacing="0" w:line="400" w:lineRule="exact"/>
              <w:ind w:left="0" w:right="0" w:firstLine="0" w:firstLineChars="0"/>
              <w:jc w:val="center"/>
              <w:rPr>
                <w:rFonts w:hint="eastAsia" w:ascii="楷体_GB2312" w:hAnsi="楷体_GB2312" w:eastAsia="楷体_GB2312" w:cs="楷体_GB2312"/>
                <w:b/>
                <w:bCs/>
                <w:color w:val="000000"/>
                <w:sz w:val="24"/>
                <w:szCs w:val="18"/>
              </w:rPr>
            </w:pPr>
            <w:r>
              <w:rPr>
                <w:rFonts w:hint="eastAsia" w:ascii="楷体_GB2312" w:hAnsi="楷体_GB2312" w:eastAsia="楷体_GB2312" w:cs="楷体_GB2312"/>
                <w:b/>
                <w:bCs/>
                <w:color w:val="000000"/>
                <w:sz w:val="24"/>
                <w:szCs w:val="18"/>
              </w:rPr>
              <w:t>评分方式</w:t>
            </w:r>
          </w:p>
        </w:tc>
        <w:tc>
          <w:tcPr>
            <w:tcW w:w="4133" w:type="dxa"/>
            <w:vAlign w:val="center"/>
          </w:tcPr>
          <w:p w14:paraId="246B1C42">
            <w:pPr>
              <w:keepNext w:val="0"/>
              <w:keepLines w:val="0"/>
              <w:suppressLineNumbers w:val="0"/>
              <w:spacing w:before="0" w:beforeAutospacing="0" w:after="0" w:afterAutospacing="0" w:line="400" w:lineRule="exact"/>
              <w:ind w:left="0" w:right="0" w:firstLine="482"/>
              <w:jc w:val="center"/>
              <w:rPr>
                <w:rFonts w:hint="eastAsia" w:ascii="楷体_GB2312" w:hAnsi="楷体_GB2312" w:eastAsia="楷体_GB2312" w:cs="楷体_GB2312"/>
                <w:color w:val="000000"/>
                <w:sz w:val="24"/>
                <w:szCs w:val="18"/>
              </w:rPr>
            </w:pPr>
            <w:r>
              <w:rPr>
                <w:rFonts w:hint="eastAsia" w:ascii="楷体_GB2312" w:hAnsi="楷体_GB2312" w:eastAsia="楷体_GB2312" w:cs="楷体_GB2312"/>
                <w:b/>
                <w:bCs/>
                <w:color w:val="000000"/>
                <w:sz w:val="24"/>
                <w:szCs w:val="18"/>
              </w:rPr>
              <w:t>评分细则</w:t>
            </w:r>
          </w:p>
        </w:tc>
      </w:tr>
      <w:tr w14:paraId="6A9C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14:paraId="61FF4F99">
            <w:pPr>
              <w:keepNext w:val="0"/>
              <w:keepLines w:val="0"/>
              <w:suppressLineNumbers w:val="0"/>
              <w:spacing w:before="0" w:beforeAutospacing="0" w:after="0" w:afterAutospacing="0" w:line="400" w:lineRule="exact"/>
              <w:ind w:left="0" w:right="0" w:firstLine="148" w:firstLineChars="62"/>
              <w:jc w:val="both"/>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1</w:t>
            </w:r>
          </w:p>
        </w:tc>
        <w:tc>
          <w:tcPr>
            <w:tcW w:w="1176" w:type="dxa"/>
            <w:vAlign w:val="center"/>
          </w:tcPr>
          <w:p w14:paraId="269C2A00">
            <w:pPr>
              <w:keepNext w:val="0"/>
              <w:keepLines w:val="0"/>
              <w:suppressLineNumbers w:val="0"/>
              <w:spacing w:before="0" w:beforeAutospacing="0" w:after="0" w:afterAutospacing="0" w:line="400" w:lineRule="exact"/>
              <w:ind w:left="0" w:right="0" w:firstLine="0" w:firstLineChars="0"/>
              <w:jc w:val="both"/>
              <w:rPr>
                <w:rFonts w:hint="default" w:ascii="仿宋_GB2312" w:hAnsi="仿宋_GB2312" w:eastAsia="仿宋_GB2312" w:cs="仿宋_GB2312"/>
                <w:color w:val="000000"/>
                <w:sz w:val="24"/>
                <w:szCs w:val="18"/>
                <w:lang w:val="en-US" w:eastAsia="zh-CN"/>
              </w:rPr>
            </w:pPr>
            <w:r>
              <w:rPr>
                <w:rFonts w:hint="eastAsia" w:ascii="仿宋_GB2312" w:hAnsi="仿宋_GB2312" w:eastAsia="仿宋_GB2312" w:cs="仿宋_GB2312"/>
                <w:color w:val="000000"/>
                <w:sz w:val="24"/>
                <w:szCs w:val="18"/>
                <w:lang w:val="en-US" w:eastAsia="zh-CN"/>
              </w:rPr>
              <w:t>服务案例</w:t>
            </w:r>
          </w:p>
        </w:tc>
        <w:tc>
          <w:tcPr>
            <w:tcW w:w="927" w:type="dxa"/>
            <w:vAlign w:val="center"/>
          </w:tcPr>
          <w:p w14:paraId="50040F1A">
            <w:pPr>
              <w:keepNext w:val="0"/>
              <w:keepLines w:val="0"/>
              <w:suppressLineNumbers w:val="0"/>
              <w:spacing w:before="0" w:beforeAutospacing="0" w:after="0" w:afterAutospacing="0" w:line="400" w:lineRule="exact"/>
              <w:ind w:left="0" w:right="0" w:firstLine="0" w:firstLineChars="0"/>
              <w:jc w:val="both"/>
              <w:rPr>
                <w:rFonts w:hint="default" w:ascii="仿宋_GB2312" w:hAnsi="仿宋_GB2312" w:eastAsia="仿宋_GB2312" w:cs="仿宋_GB2312"/>
                <w:color w:val="000000"/>
                <w:sz w:val="24"/>
                <w:szCs w:val="18"/>
                <w:lang w:val="en-US" w:eastAsia="zh-CN"/>
              </w:rPr>
            </w:pPr>
            <w:r>
              <w:rPr>
                <w:rFonts w:hint="eastAsia" w:ascii="仿宋_GB2312" w:hAnsi="仿宋_GB2312" w:eastAsia="仿宋_GB2312" w:cs="仿宋_GB2312"/>
                <w:color w:val="000000"/>
                <w:sz w:val="24"/>
                <w:szCs w:val="18"/>
                <w:lang w:val="en-US" w:eastAsia="zh-CN"/>
              </w:rPr>
              <w:t>15</w:t>
            </w:r>
          </w:p>
        </w:tc>
        <w:tc>
          <w:tcPr>
            <w:tcW w:w="1559" w:type="dxa"/>
            <w:vAlign w:val="center"/>
          </w:tcPr>
          <w:p w14:paraId="6F42D244">
            <w:pPr>
              <w:keepNext w:val="0"/>
              <w:keepLines w:val="0"/>
              <w:suppressLineNumbers w:val="0"/>
              <w:spacing w:before="0" w:beforeAutospacing="0" w:after="0" w:afterAutospacing="0" w:line="400" w:lineRule="exact"/>
              <w:ind w:left="0" w:right="0" w:firstLine="0" w:firstLineChars="0"/>
              <w:jc w:val="both"/>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lang w:val="en-US" w:eastAsia="zh-CN"/>
              </w:rPr>
              <w:t>评审人员评分</w:t>
            </w:r>
          </w:p>
        </w:tc>
        <w:tc>
          <w:tcPr>
            <w:tcW w:w="4133" w:type="dxa"/>
            <w:vAlign w:val="center"/>
          </w:tcPr>
          <w:p w14:paraId="51BA13F3">
            <w:pPr>
              <w:keepNext w:val="0"/>
              <w:keepLines w:val="0"/>
              <w:suppressLineNumbers w:val="0"/>
              <w:spacing w:before="0" w:beforeAutospacing="0" w:after="0" w:afterAutospacing="0" w:line="400" w:lineRule="exact"/>
              <w:ind w:left="0" w:right="0" w:firstLine="0" w:firstLineChars="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4"/>
                <w:szCs w:val="24"/>
              </w:rPr>
              <w:t>1.评分标准：</w:t>
            </w:r>
            <w:r>
              <w:rPr>
                <w:rFonts w:hint="eastAsia" w:ascii="仿宋_GB2312" w:hAnsi="仿宋_GB2312" w:eastAsia="仿宋_GB2312" w:cs="仿宋_GB2312"/>
                <w:sz w:val="24"/>
                <w:szCs w:val="24"/>
              </w:rPr>
              <w:t>提供2023年（含）以来</w:t>
            </w:r>
            <w:r>
              <w:rPr>
                <w:rFonts w:hint="eastAsia" w:ascii="仿宋_GB2312" w:hAnsi="仿宋_GB2312" w:eastAsia="仿宋_GB2312" w:cs="仿宋_GB2312"/>
                <w:b w:val="0"/>
                <w:bCs w:val="0"/>
                <w:color w:val="000000"/>
                <w:sz w:val="24"/>
                <w:szCs w:val="24"/>
              </w:rPr>
              <w:t>每经由供应商进行宣传策划所发布的推文阅读量超过10万的可获得</w:t>
            </w:r>
            <w:r>
              <w:rPr>
                <w:rFonts w:hint="eastAsia" w:ascii="仿宋_GB2312" w:hAnsi="仿宋_GB2312" w:eastAsia="仿宋_GB2312" w:cs="仿宋_GB2312"/>
                <w:b w:val="0"/>
                <w:bCs w:val="0"/>
                <w:color w:val="000000"/>
                <w:sz w:val="24"/>
                <w:szCs w:val="24"/>
                <w:u w:val="single"/>
              </w:rPr>
              <w:t xml:space="preserve"> 3 </w:t>
            </w:r>
            <w:r>
              <w:rPr>
                <w:rFonts w:hint="eastAsia" w:ascii="仿宋_GB2312" w:hAnsi="仿宋_GB2312" w:eastAsia="仿宋_GB2312" w:cs="仿宋_GB2312"/>
                <w:b w:val="0"/>
                <w:bCs w:val="0"/>
                <w:color w:val="000000"/>
                <w:sz w:val="24"/>
                <w:szCs w:val="24"/>
              </w:rPr>
              <w:t>分，5万-10万之间的可获得</w:t>
            </w:r>
            <w:r>
              <w:rPr>
                <w:rFonts w:hint="eastAsia" w:ascii="仿宋_GB2312" w:hAnsi="仿宋_GB2312" w:eastAsia="仿宋_GB2312" w:cs="仿宋_GB2312"/>
                <w:b w:val="0"/>
                <w:bCs w:val="0"/>
                <w:color w:val="000000"/>
                <w:sz w:val="24"/>
                <w:szCs w:val="24"/>
                <w:u w:val="single"/>
              </w:rPr>
              <w:t xml:space="preserve"> 1 </w:t>
            </w:r>
            <w:r>
              <w:rPr>
                <w:rFonts w:hint="eastAsia" w:ascii="仿宋_GB2312" w:hAnsi="仿宋_GB2312" w:eastAsia="仿宋_GB2312" w:cs="仿宋_GB2312"/>
                <w:b w:val="0"/>
                <w:bCs w:val="0"/>
                <w:color w:val="000000"/>
                <w:sz w:val="24"/>
                <w:szCs w:val="24"/>
              </w:rPr>
              <w:t>分，低于5万不得分，满分</w:t>
            </w:r>
            <w:r>
              <w:rPr>
                <w:rFonts w:hint="eastAsia" w:ascii="仿宋_GB2312" w:hAnsi="仿宋_GB2312" w:eastAsia="仿宋_GB2312" w:cs="仿宋_GB2312"/>
                <w:b w:val="0"/>
                <w:bCs w:val="0"/>
                <w:color w:val="000000"/>
                <w:sz w:val="24"/>
                <w:szCs w:val="24"/>
                <w:u w:val="single"/>
              </w:rPr>
              <w:t>15</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bCs/>
                <w:color w:val="000000"/>
                <w:sz w:val="24"/>
                <w:szCs w:val="24"/>
              </w:rPr>
              <w:t>2.证明文件：</w:t>
            </w:r>
            <w:r>
              <w:rPr>
                <w:rFonts w:hint="eastAsia" w:ascii="仿宋_GB2312" w:hAnsi="仿宋_GB2312" w:eastAsia="仿宋_GB2312" w:cs="仿宋_GB2312"/>
                <w:color w:val="000000"/>
                <w:sz w:val="24"/>
                <w:szCs w:val="24"/>
              </w:rPr>
              <w:t>1.提供《供应商业绩一览表》，并按表格顺序以Word文档形式附推文链链接，提供U盘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（须清晰的反映</w:t>
            </w:r>
            <w:r>
              <w:rPr>
                <w:rFonts w:hint="eastAsia" w:ascii="仿宋_GB2312" w:hAnsi="仿宋_GB2312" w:eastAsia="仿宋_GB2312" w:cs="仿宋_GB2312"/>
                <w:color w:val="000000"/>
                <w:sz w:val="24"/>
                <w:szCs w:val="24"/>
                <w:lang w:val="en-US" w:eastAsia="zh-CN"/>
              </w:rPr>
              <w:t>发布主题</w:t>
            </w:r>
            <w:r>
              <w:rPr>
                <w:rFonts w:hint="eastAsia" w:ascii="仿宋_GB2312" w:hAnsi="仿宋_GB2312" w:eastAsia="仿宋_GB2312" w:cs="仿宋_GB2312"/>
                <w:color w:val="000000"/>
                <w:sz w:val="24"/>
                <w:szCs w:val="24"/>
              </w:rPr>
              <w:t>名称）；否则视为无效证明文件</w:t>
            </w:r>
            <w:r>
              <w:rPr>
                <w:rFonts w:hint="eastAsia" w:ascii="仿宋_GB2312" w:hAnsi="仿宋_GB2312" w:eastAsia="仿宋_GB2312" w:cs="仿宋_GB2312"/>
                <w:color w:val="000000"/>
                <w:sz w:val="24"/>
                <w:szCs w:val="24"/>
                <w:lang w:eastAsia="zh-CN"/>
              </w:rPr>
              <w:t>。2.若响应文件提供的业绩多于五项的，只针对《供应商</w:t>
            </w:r>
            <w:r>
              <w:rPr>
                <w:rFonts w:hint="eastAsia" w:ascii="仿宋_GB2312" w:hAnsi="仿宋_GB2312" w:eastAsia="仿宋_GB2312" w:cs="仿宋_GB2312"/>
                <w:color w:val="000000"/>
                <w:sz w:val="24"/>
                <w:szCs w:val="24"/>
                <w:lang w:val="en-US" w:eastAsia="zh-CN"/>
              </w:rPr>
              <w:t>服务案例</w:t>
            </w:r>
            <w:r>
              <w:rPr>
                <w:rFonts w:hint="eastAsia" w:ascii="仿宋_GB2312" w:hAnsi="仿宋_GB2312" w:eastAsia="仿宋_GB2312" w:cs="仿宋_GB2312"/>
                <w:color w:val="000000"/>
                <w:sz w:val="24"/>
                <w:szCs w:val="24"/>
                <w:lang w:eastAsia="zh-CN"/>
              </w:rPr>
              <w:t>一览表》前五项业绩及其证明资料进行打分。</w:t>
            </w:r>
          </w:p>
        </w:tc>
      </w:tr>
      <w:bookmarkEnd w:id="9"/>
    </w:tbl>
    <w:p w14:paraId="3DB4385C">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六、保密</w:t>
      </w:r>
    </w:p>
    <w:p w14:paraId="45E2F3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6A8FF1D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七、成交通知书</w:t>
      </w:r>
    </w:p>
    <w:p w14:paraId="3A12EF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p w14:paraId="58FECB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5"/>
    <w:bookmarkEnd w:id="6"/>
    <w:p w14:paraId="32CF1DA7">
      <w:pPr>
        <w:spacing w:line="560" w:lineRule="exact"/>
        <w:jc w:val="center"/>
        <w:outlineLvl w:val="0"/>
        <w:rPr>
          <w:rFonts w:hint="eastAsia" w:ascii="方正小标宋简体" w:hAnsi="仿宋_GB2312" w:eastAsia="方正小标宋简体" w:cs="仿宋_GB2312"/>
          <w:sz w:val="44"/>
          <w:szCs w:val="44"/>
        </w:rPr>
      </w:pPr>
      <w:bookmarkStart w:id="11" w:name="_Toc194519097"/>
      <w:r>
        <w:rPr>
          <w:rFonts w:hint="eastAsia" w:ascii="方正小标宋简体" w:hAnsi="仿宋_GB2312" w:eastAsia="方正小标宋简体" w:cs="仿宋_GB2312"/>
          <w:sz w:val="44"/>
          <w:szCs w:val="44"/>
        </w:rPr>
        <w:t>第五章 合同签订及其他</w:t>
      </w:r>
      <w:bookmarkEnd w:id="11"/>
    </w:p>
    <w:p w14:paraId="4EB151E7">
      <w:pPr>
        <w:spacing w:line="560" w:lineRule="exact"/>
        <w:rPr>
          <w:rFonts w:hint="eastAsia" w:ascii="仿宋_GB2312" w:hAnsi="仿宋_GB2312" w:eastAsia="仿宋_GB2312" w:cs="仿宋_GB2312"/>
          <w:sz w:val="32"/>
          <w:szCs w:val="32"/>
        </w:rPr>
      </w:pPr>
    </w:p>
    <w:p w14:paraId="039FFAA4">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（一）合同签订</w:t>
      </w:r>
    </w:p>
    <w:p w14:paraId="2B5F12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1.在响应文件有效期内，采购人和成交供应商应当自成交通知书发出之日起10日内订立书面合同。采购文件、成交供应商的响应文件及其澄清、修改文件等，均为签订合同的依据。</w:t>
      </w:r>
    </w:p>
    <w:p w14:paraId="39F5BE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供应商无正当理由拒签合同、在签订合同时向采购人提出附加条件、被查实存在影响采购结果的违反采购文件要求的行为等情形的，采购人将取消其成交资格，并根据评审报告确定新的成交供应商；若因此给采购人造成损失的，原成交供应商应当进行赔偿。</w:t>
      </w:r>
    </w:p>
    <w:p w14:paraId="239DC6D4">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（二）其他</w:t>
      </w:r>
    </w:p>
    <w:p w14:paraId="76E185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5DCCB9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供应商应对采购文件中的商业和技术等秘密保密，违者应承担由此造成的一切法律后果；</w:t>
      </w:r>
    </w:p>
    <w:p w14:paraId="58F5BB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无论成交与否，已递交的响应文件及相关资料概不退回，采购人将对响应文件资料予以保密；</w:t>
      </w:r>
    </w:p>
    <w:p w14:paraId="751C07C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工程类项目，</w:t>
      </w:r>
      <w:r>
        <w:rPr>
          <w:rFonts w:ascii="仿宋_GB2312" w:hAnsi="仿宋_GB2312" w:eastAsia="仿宋_GB2312" w:cs="仿宋_GB2312"/>
          <w:sz w:val="32"/>
          <w:szCs w:val="32"/>
        </w:rPr>
        <w:t>采购人</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不集中组织现场踏勘，供应商需要了解现场情况的，可</w:t>
      </w:r>
      <w:r>
        <w:rPr>
          <w:rFonts w:hint="eastAsia" w:ascii="仿宋_GB2312" w:hAnsi="仿宋_GB2312" w:eastAsia="仿宋_GB2312" w:cs="仿宋_GB2312"/>
          <w:sz w:val="32"/>
          <w:szCs w:val="32"/>
        </w:rPr>
        <w:t>联系项目联系人</w:t>
      </w:r>
      <w:r>
        <w:rPr>
          <w:rFonts w:ascii="仿宋_GB2312" w:hAnsi="仿宋_GB2312" w:eastAsia="仿宋_GB2312" w:cs="仿宋_GB2312"/>
          <w:sz w:val="32"/>
          <w:szCs w:val="32"/>
        </w:rPr>
        <w:t>进行现场踏勘</w:t>
      </w:r>
      <w:r>
        <w:rPr>
          <w:rFonts w:hint="eastAsia" w:ascii="仿宋_GB2312" w:hAnsi="仿宋_GB2312" w:eastAsia="仿宋_GB2312" w:cs="仿宋_GB2312"/>
          <w:sz w:val="32"/>
          <w:szCs w:val="32"/>
        </w:rPr>
        <w:t>。</w:t>
      </w:r>
    </w:p>
    <w:p w14:paraId="2F196406">
      <w:pPr>
        <w:widowControl/>
        <w:jc w:val="left"/>
        <w:rPr>
          <w:color w:val="auto"/>
          <w:highlight w:val="none"/>
        </w:rPr>
      </w:pPr>
      <w:r>
        <w:rPr>
          <w:color w:val="auto"/>
          <w:highlight w:val="none"/>
        </w:rPr>
        <w:br w:type="page"/>
      </w:r>
    </w:p>
    <w:p w14:paraId="7FCDE457">
      <w:pPr>
        <w:spacing w:line="560" w:lineRule="exact"/>
        <w:jc w:val="center"/>
        <w:outlineLvl w:val="0"/>
        <w:rPr>
          <w:rFonts w:ascii="方正小标宋简体" w:hAnsi="仿宋_GB2312" w:eastAsia="方正小标宋简体" w:cs="仿宋_GB2312"/>
          <w:color w:val="auto"/>
          <w:sz w:val="44"/>
          <w:szCs w:val="44"/>
          <w:highlight w:val="none"/>
        </w:rPr>
      </w:pPr>
      <w:bookmarkStart w:id="12" w:name="_Toc157678620"/>
      <w:bookmarkStart w:id="13" w:name="_Toc165400064"/>
      <w:r>
        <w:rPr>
          <w:rFonts w:hint="eastAsia" w:ascii="方正小标宋简体" w:hAnsi="仿宋_GB2312" w:eastAsia="方正小标宋简体" w:cs="仿宋_GB2312"/>
          <w:color w:val="auto"/>
          <w:sz w:val="44"/>
          <w:szCs w:val="44"/>
          <w:highlight w:val="none"/>
        </w:rPr>
        <w:t>第</w:t>
      </w:r>
      <w:r>
        <w:rPr>
          <w:rFonts w:hint="eastAsia" w:ascii="方正小标宋简体" w:hAnsi="仿宋_GB2312" w:eastAsia="方正小标宋简体" w:cs="仿宋_GB2312"/>
          <w:color w:val="auto"/>
          <w:sz w:val="44"/>
          <w:szCs w:val="44"/>
          <w:highlight w:val="none"/>
          <w:lang w:val="en-US" w:eastAsia="zh-CN"/>
        </w:rPr>
        <w:t>六</w:t>
      </w:r>
      <w:r>
        <w:rPr>
          <w:rFonts w:hint="eastAsia" w:ascii="方正小标宋简体" w:hAnsi="仿宋_GB2312" w:eastAsia="方正小标宋简体" w:cs="仿宋_GB2312"/>
          <w:color w:val="auto"/>
          <w:sz w:val="44"/>
          <w:szCs w:val="44"/>
          <w:highlight w:val="none"/>
        </w:rPr>
        <w:t>章 附件</w:t>
      </w:r>
      <w:bookmarkEnd w:id="12"/>
      <w:bookmarkEnd w:id="13"/>
    </w:p>
    <w:p w14:paraId="18BDDFC2">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14:paraId="2339F7D2">
      <w:pPr>
        <w:spacing w:line="560" w:lineRule="exact"/>
        <w:jc w:val="center"/>
        <w:rPr>
          <w:rFonts w:ascii="方正小标宋简体" w:hAnsi="仿宋_GB2312" w:eastAsia="方正小标宋简体" w:cs="仿宋_GB2312"/>
          <w:color w:val="auto"/>
          <w:kern w:val="0"/>
          <w:sz w:val="44"/>
          <w:szCs w:val="44"/>
        </w:rPr>
      </w:pPr>
      <w:r>
        <w:rPr>
          <w:rFonts w:hint="eastAsia" w:ascii="方正小标宋简体" w:hAnsi="仿宋_GB2312" w:eastAsia="方正小标宋简体" w:cs="仿宋_GB2312"/>
          <w:color w:val="auto"/>
          <w:kern w:val="0"/>
          <w:sz w:val="44"/>
          <w:szCs w:val="44"/>
        </w:rPr>
        <w:t>报价表</w:t>
      </w:r>
    </w:p>
    <w:p w14:paraId="3FE59F68">
      <w:pPr>
        <w:spacing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14:paraId="4CB2C21C">
      <w:pPr>
        <w:spacing w:line="560" w:lineRule="exac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项目名称：</w:t>
      </w:r>
      <w:r>
        <w:rPr>
          <w:rFonts w:hint="eastAsia" w:ascii="仿宋_GB2312" w:hAnsi="仿宋_GB2312" w:eastAsia="仿宋_GB2312" w:cs="仿宋_GB2312"/>
          <w:b/>
          <w:bCs/>
          <w:color w:val="auto"/>
          <w:kern w:val="0"/>
          <w:sz w:val="24"/>
          <w:szCs w:val="24"/>
          <w:u w:val="single"/>
        </w:rPr>
        <w:t>2025年全国新书首发中心活动中介机构咨询服务及媒体宣传服务项目</w:t>
      </w:r>
      <w:r>
        <w:rPr>
          <w:rFonts w:hint="eastAsia" w:ascii="仿宋_GB2312" w:hAnsi="仿宋_GB2312" w:eastAsia="仿宋_GB2312" w:cs="仿宋_GB2312"/>
          <w:b/>
          <w:bCs/>
          <w:color w:val="auto"/>
          <w:kern w:val="0"/>
          <w:sz w:val="24"/>
          <w:szCs w:val="24"/>
        </w:rPr>
        <w:t>（单位：人民币元）</w:t>
      </w:r>
    </w:p>
    <w:p w14:paraId="39898FF9">
      <w:pPr>
        <w:spacing w:line="560" w:lineRule="exact"/>
        <w:rPr>
          <w:rFonts w:hint="eastAsia" w:ascii="仿宋_GB2312" w:hAnsi="仿宋_GB2312" w:eastAsia="仿宋_GB2312" w:cs="仿宋_GB2312"/>
          <w:b/>
          <w:bCs/>
          <w:color w:val="auto"/>
          <w:kern w:val="0"/>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822"/>
        <w:gridCol w:w="888"/>
        <w:gridCol w:w="930"/>
        <w:gridCol w:w="1195"/>
        <w:gridCol w:w="969"/>
      </w:tblGrid>
      <w:tr w14:paraId="374D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18" w:type="dxa"/>
            <w:vAlign w:val="center"/>
          </w:tcPr>
          <w:p w14:paraId="6EDE0EF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3822" w:type="dxa"/>
            <w:vAlign w:val="center"/>
          </w:tcPr>
          <w:p w14:paraId="072A0A8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服务内容</w:t>
            </w:r>
          </w:p>
        </w:tc>
        <w:tc>
          <w:tcPr>
            <w:tcW w:w="888" w:type="dxa"/>
            <w:vAlign w:val="center"/>
          </w:tcPr>
          <w:p w14:paraId="5785D59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w:t>
            </w:r>
          </w:p>
        </w:tc>
        <w:tc>
          <w:tcPr>
            <w:tcW w:w="930" w:type="dxa"/>
            <w:vAlign w:val="center"/>
          </w:tcPr>
          <w:p w14:paraId="7739D4B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c>
          <w:tcPr>
            <w:tcW w:w="1195" w:type="dxa"/>
            <w:vAlign w:val="center"/>
          </w:tcPr>
          <w:p w14:paraId="422C76D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单价/元</w:t>
            </w:r>
          </w:p>
        </w:tc>
        <w:tc>
          <w:tcPr>
            <w:tcW w:w="969" w:type="dxa"/>
            <w:vAlign w:val="center"/>
          </w:tcPr>
          <w:p w14:paraId="400ECB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14:paraId="2E95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8" w:type="dxa"/>
            <w:vAlign w:val="center"/>
          </w:tcPr>
          <w:p w14:paraId="4DBBD780">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3822" w:type="dxa"/>
            <w:vAlign w:val="center"/>
          </w:tcPr>
          <w:p w14:paraId="6B595D0B">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sz w:val="24"/>
                <w:szCs w:val="24"/>
                <w:lang w:val="en-US"/>
              </w:rPr>
            </w:pPr>
            <w:r>
              <w:rPr>
                <w:rFonts w:hint="eastAsia" w:ascii="仿宋_GB2312" w:hAnsi="等线 Light" w:eastAsia="仿宋_GB2312" w:cs="Times New Roman"/>
                <w:b/>
                <w:bCs/>
                <w:color w:val="auto"/>
                <w:sz w:val="24"/>
                <w:szCs w:val="24"/>
                <w:lang w:val="en-US" w:eastAsia="zh-CN"/>
              </w:rPr>
              <w:t>中介机构咨询服务：</w:t>
            </w:r>
            <w:r>
              <w:rPr>
                <w:rFonts w:hint="eastAsia" w:ascii="仿宋_GB2312" w:hAnsi="等线 Light" w:eastAsia="仿宋_GB2312" w:cs="Times New Roman"/>
                <w:color w:val="auto"/>
                <w:sz w:val="24"/>
                <w:szCs w:val="24"/>
                <w:lang w:val="en-US" w:eastAsia="zh-CN"/>
              </w:rPr>
              <w:t>通过微信公众平台发布有关“全国新书首发中心”内容的头条推文1则。</w:t>
            </w:r>
          </w:p>
        </w:tc>
        <w:tc>
          <w:tcPr>
            <w:tcW w:w="888" w:type="dxa"/>
            <w:vAlign w:val="center"/>
          </w:tcPr>
          <w:p w14:paraId="7D7F146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30" w:type="dxa"/>
            <w:vAlign w:val="center"/>
          </w:tcPr>
          <w:p w14:paraId="132A080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tc>
        <w:tc>
          <w:tcPr>
            <w:tcW w:w="1195" w:type="dxa"/>
            <w:vAlign w:val="center"/>
          </w:tcPr>
          <w:p w14:paraId="6B447F53">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c>
          <w:tcPr>
            <w:tcW w:w="969" w:type="dxa"/>
            <w:vMerge w:val="restart"/>
            <w:vAlign w:val="center"/>
          </w:tcPr>
          <w:p w14:paraId="75E5BF1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2"/>
                <w:sz w:val="24"/>
                <w:szCs w:val="24"/>
                <w:lang w:val="en-US" w:eastAsia="zh-CN" w:bidi="ar"/>
              </w:rPr>
              <w:t>含本数，含税费、运费、保险费等价外费</w:t>
            </w:r>
          </w:p>
        </w:tc>
      </w:tr>
      <w:tr w14:paraId="6394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8" w:type="dxa"/>
            <w:vAlign w:val="center"/>
          </w:tcPr>
          <w:p w14:paraId="23D00BB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3822" w:type="dxa"/>
            <w:vAlign w:val="center"/>
          </w:tcPr>
          <w:p w14:paraId="7A48155D">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r>
              <w:rPr>
                <w:rFonts w:hint="eastAsia" w:ascii="仿宋_GB2312" w:hAnsi="等线 Light" w:eastAsia="仿宋_GB2312" w:cs="Times New Roman"/>
                <w:b/>
                <w:bCs/>
                <w:color w:val="auto"/>
                <w:sz w:val="24"/>
                <w:szCs w:val="24"/>
                <w:lang w:val="en-US" w:eastAsia="zh-CN"/>
              </w:rPr>
              <w:t>媒体宣传服务：</w:t>
            </w:r>
            <w:r>
              <w:rPr>
                <w:rFonts w:hint="eastAsia" w:ascii="仿宋_GB2312" w:hAnsi="等线 Light" w:eastAsia="仿宋_GB2312" w:cs="Times New Roman"/>
                <w:color w:val="auto"/>
                <w:sz w:val="24"/>
                <w:szCs w:val="24"/>
                <w:lang w:val="en-US" w:eastAsia="zh-CN"/>
              </w:rPr>
              <w:t>1项全国新书首发中心内容策划宣传服务（包括但不限于推文排版、文案撰写、图片拍摄等）。</w:t>
            </w:r>
          </w:p>
        </w:tc>
        <w:tc>
          <w:tcPr>
            <w:tcW w:w="888" w:type="dxa"/>
            <w:vAlign w:val="center"/>
          </w:tcPr>
          <w:p w14:paraId="7A433672">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30" w:type="dxa"/>
            <w:vAlign w:val="center"/>
          </w:tcPr>
          <w:p w14:paraId="6863F53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w:t>
            </w:r>
          </w:p>
        </w:tc>
        <w:tc>
          <w:tcPr>
            <w:tcW w:w="1195" w:type="dxa"/>
            <w:vAlign w:val="center"/>
          </w:tcPr>
          <w:p w14:paraId="72545B56">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c>
          <w:tcPr>
            <w:tcW w:w="969" w:type="dxa"/>
            <w:vMerge w:val="continue"/>
          </w:tcPr>
          <w:p w14:paraId="5BB6728E">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color w:val="auto"/>
                <w:kern w:val="2"/>
                <w:sz w:val="24"/>
                <w:szCs w:val="24"/>
                <w:lang w:val="en-US" w:eastAsia="zh-CN" w:bidi="ar"/>
              </w:rPr>
            </w:pPr>
          </w:p>
        </w:tc>
      </w:tr>
      <w:tr w14:paraId="25D9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8" w:type="dxa"/>
            <w:gridSpan w:val="4"/>
            <w:vAlign w:val="center"/>
          </w:tcPr>
          <w:p w14:paraId="51271EB4">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sz w:val="24"/>
                <w:szCs w:val="24"/>
              </w:rPr>
              <w:t>合计/元</w:t>
            </w:r>
          </w:p>
        </w:tc>
        <w:tc>
          <w:tcPr>
            <w:tcW w:w="1195" w:type="dxa"/>
            <w:vAlign w:val="center"/>
          </w:tcPr>
          <w:p w14:paraId="0F30B04F">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c>
          <w:tcPr>
            <w:tcW w:w="969" w:type="dxa"/>
            <w:vMerge w:val="continue"/>
          </w:tcPr>
          <w:p w14:paraId="670CD107">
            <w:pPr>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kern w:val="0"/>
                <w:sz w:val="24"/>
                <w:szCs w:val="24"/>
              </w:rPr>
            </w:pPr>
          </w:p>
        </w:tc>
      </w:tr>
    </w:tbl>
    <w:p w14:paraId="01168DA7">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p>
    <w:p w14:paraId="68B0262F">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401E5A68">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1.此报价表可延长补充及说明；</w:t>
      </w:r>
    </w:p>
    <w:p w14:paraId="392C862F">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2.报价应当不超过本项目的限价，</w:t>
      </w:r>
      <w:r>
        <w:rPr>
          <w:rFonts w:hint="eastAsia" w:ascii="仿宋_GB2312" w:hAnsi="仿宋_GB2312" w:eastAsia="仿宋_GB2312" w:cs="仿宋_GB2312"/>
          <w:color w:val="auto"/>
          <w:sz w:val="24"/>
          <w:szCs w:val="24"/>
          <w:lang w:val="en-US" w:eastAsia="zh-CN"/>
        </w:rPr>
        <w:t>即中介机构咨询服务不超过</w:t>
      </w:r>
      <w:r>
        <w:rPr>
          <w:rFonts w:hint="eastAsia" w:ascii="仿宋_GB2312" w:hAnsi="仿宋_GB2312" w:eastAsia="仿宋_GB2312" w:cs="仿宋_GB2312"/>
          <w:b/>
          <w:bCs/>
          <w:color w:val="auto"/>
          <w:sz w:val="24"/>
          <w:szCs w:val="24"/>
          <w:u w:val="single"/>
          <w:lang w:val="en-US" w:eastAsia="zh-CN"/>
        </w:rPr>
        <w:t>3</w:t>
      </w:r>
      <w:r>
        <w:rPr>
          <w:rFonts w:hint="eastAsia" w:ascii="仿宋_GB2312" w:hAnsi="仿宋_GB2312" w:eastAsia="仿宋_GB2312" w:cs="仿宋_GB2312"/>
          <w:color w:val="auto"/>
          <w:sz w:val="24"/>
          <w:szCs w:val="24"/>
          <w:lang w:val="en-US" w:eastAsia="zh-CN"/>
        </w:rPr>
        <w:t>万元，媒体宣传服务不超过</w:t>
      </w:r>
      <w:r>
        <w:rPr>
          <w:rFonts w:hint="eastAsia" w:ascii="仿宋_GB2312" w:hAnsi="仿宋_GB2312" w:eastAsia="仿宋_GB2312" w:cs="仿宋_GB2312"/>
          <w:b/>
          <w:bCs/>
          <w:color w:val="auto"/>
          <w:sz w:val="24"/>
          <w:szCs w:val="24"/>
          <w:u w:val="single"/>
          <w:lang w:val="en-US" w:eastAsia="zh-CN"/>
        </w:rPr>
        <w:t>3</w:t>
      </w:r>
      <w:r>
        <w:rPr>
          <w:rFonts w:hint="eastAsia" w:ascii="仿宋_GB2312" w:hAnsi="仿宋_GB2312" w:eastAsia="仿宋_GB2312" w:cs="仿宋_GB2312"/>
          <w:color w:val="auto"/>
          <w:sz w:val="24"/>
          <w:szCs w:val="24"/>
          <w:lang w:val="en-US" w:eastAsia="zh-CN"/>
        </w:rPr>
        <w:t>万元，</w:t>
      </w:r>
      <w:r>
        <w:rPr>
          <w:rFonts w:hint="eastAsia" w:ascii="仿宋_GB2312" w:hAnsi="仿宋_GB2312" w:eastAsia="仿宋_GB2312" w:cs="仿宋_GB2312"/>
          <w:color w:val="auto"/>
          <w:sz w:val="24"/>
          <w:szCs w:val="24"/>
        </w:rPr>
        <w:t>报价为含税价；</w:t>
      </w:r>
    </w:p>
    <w:p w14:paraId="6085181B">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3.报价保留小数点后两位。</w:t>
      </w:r>
    </w:p>
    <w:p w14:paraId="23FC0FA1">
      <w:pPr>
        <w:pStyle w:val="16"/>
        <w:ind w:left="0" w:leftChars="0" w:firstLine="0" w:firstLineChars="0"/>
        <w:rPr>
          <w:rFonts w:hint="eastAsia" w:ascii="仿宋_GB2312" w:hAnsi="仿宋_GB2312" w:eastAsia="仿宋_GB2312" w:cs="仿宋_GB2312"/>
          <w:color w:val="auto"/>
          <w:sz w:val="24"/>
          <w:szCs w:val="24"/>
        </w:rPr>
      </w:pPr>
    </w:p>
    <w:p w14:paraId="0706D61B">
      <w:pPr>
        <w:pStyle w:val="16"/>
        <w:ind w:left="0" w:leftChars="0" w:firstLine="0" w:firstLineChars="0"/>
        <w:rPr>
          <w:rFonts w:hint="eastAsia" w:ascii="仿宋_GB2312" w:hAnsi="仿宋_GB2312" w:eastAsia="仿宋_GB2312" w:cs="仿宋_GB2312"/>
          <w:color w:val="auto"/>
          <w:sz w:val="24"/>
          <w:szCs w:val="24"/>
        </w:rPr>
      </w:pPr>
    </w:p>
    <w:p w14:paraId="08488C86">
      <w:pPr>
        <w:keepNext w:val="0"/>
        <w:keepLines w:val="0"/>
        <w:pageBreakBefore w:val="0"/>
        <w:widowControl w:val="0"/>
        <w:kinsoku/>
        <w:wordWrap/>
        <w:overflowPunct/>
        <w:topLinePunct w:val="0"/>
        <w:autoSpaceDE/>
        <w:autoSpaceDN/>
        <w:bidi w:val="0"/>
        <w:adjustRightInd/>
        <w:snapToGrid/>
        <w:spacing w:line="440" w:lineRule="exact"/>
        <w:ind w:left="2940" w:leftChars="0" w:firstLine="42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  应  商(公章)：</w:t>
      </w:r>
      <w:r>
        <w:rPr>
          <w:rFonts w:hint="eastAsia" w:ascii="仿宋_GB2312" w:hAnsi="仿宋_GB2312" w:eastAsia="仿宋_GB2312" w:cs="仿宋_GB2312"/>
          <w:color w:val="auto"/>
          <w:sz w:val="24"/>
          <w:szCs w:val="24"/>
          <w:u w:val="single"/>
        </w:rPr>
        <w:t xml:space="preserve">                     </w:t>
      </w:r>
    </w:p>
    <w:p w14:paraId="3250B317">
      <w:pPr>
        <w:keepNext w:val="0"/>
        <w:keepLines w:val="0"/>
        <w:pageBreakBefore w:val="0"/>
        <w:widowControl w:val="0"/>
        <w:kinsoku/>
        <w:wordWrap/>
        <w:overflowPunct/>
        <w:topLinePunct w:val="0"/>
        <w:autoSpaceDE/>
        <w:autoSpaceDN/>
        <w:bidi w:val="0"/>
        <w:adjustRightInd/>
        <w:snapToGrid/>
        <w:spacing w:line="440" w:lineRule="exact"/>
        <w:ind w:left="2940" w:leftChars="0" w:firstLine="42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代      表(签名)：</w:t>
      </w:r>
      <w:r>
        <w:rPr>
          <w:rFonts w:hint="eastAsia" w:ascii="仿宋_GB2312" w:hAnsi="仿宋_GB2312" w:eastAsia="仿宋_GB2312" w:cs="仿宋_GB2312"/>
          <w:color w:val="auto"/>
          <w:sz w:val="24"/>
          <w:szCs w:val="24"/>
          <w:u w:val="single"/>
        </w:rPr>
        <w:t xml:space="preserve">                     </w:t>
      </w:r>
    </w:p>
    <w:p w14:paraId="1DAF8306">
      <w:pPr>
        <w:keepNext w:val="0"/>
        <w:keepLines w:val="0"/>
        <w:pageBreakBefore w:val="0"/>
        <w:widowControl w:val="0"/>
        <w:kinsoku/>
        <w:wordWrap/>
        <w:overflowPunct/>
        <w:topLinePunct w:val="0"/>
        <w:autoSpaceDE/>
        <w:autoSpaceDN/>
        <w:bidi w:val="0"/>
        <w:adjustRightInd/>
        <w:snapToGrid/>
        <w:spacing w:line="440" w:lineRule="exact"/>
        <w:ind w:left="2940" w:leftChars="0" w:firstLine="420" w:firstLineChars="0"/>
        <w:jc w:val="both"/>
        <w:textAlignment w:val="auto"/>
        <w:rPr>
          <w:rFonts w:hint="eastAsia" w:ascii="宋体" w:hAnsi="宋体" w:eastAsia="宋体" w:cs="Times New Roman"/>
          <w:color w:val="auto"/>
          <w:sz w:val="24"/>
          <w:szCs w:val="24"/>
          <w:u w:val="single"/>
        </w:rPr>
      </w:pPr>
      <w:r>
        <w:rPr>
          <w:rFonts w:hint="eastAsia" w:ascii="仿宋_GB2312" w:hAnsi="仿宋_GB2312" w:eastAsia="仿宋_GB2312" w:cs="仿宋_GB2312"/>
          <w:color w:val="auto"/>
          <w:sz w:val="24"/>
          <w:szCs w:val="24"/>
        </w:rPr>
        <w:t>日            期：</w:t>
      </w:r>
      <w:r>
        <w:rPr>
          <w:rFonts w:hint="eastAsia" w:ascii="仿宋_GB2312" w:hAnsi="仿宋_GB2312" w:eastAsia="仿宋_GB2312" w:cs="仿宋_GB2312"/>
          <w:color w:val="auto"/>
          <w:sz w:val="24"/>
          <w:szCs w:val="24"/>
          <w:u w:val="single"/>
        </w:rPr>
        <w:t xml:space="preserve">                    </w:t>
      </w:r>
      <w:r>
        <w:rPr>
          <w:rFonts w:hint="eastAsia" w:ascii="宋体" w:hAnsi="宋体" w:eastAsia="宋体" w:cs="Times New Roman"/>
          <w:color w:val="auto"/>
          <w:sz w:val="24"/>
          <w:szCs w:val="24"/>
          <w:u w:val="single"/>
        </w:rPr>
        <w:t xml:space="preserve"> </w:t>
      </w:r>
    </w:p>
    <w:p w14:paraId="409BE6C9">
      <w:pPr>
        <w:spacing w:line="560" w:lineRule="exac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p>
    <w:p w14:paraId="37F192D9">
      <w:pPr>
        <w:widowControl/>
        <w:spacing w:line="44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2031C8F">
      <w:pPr>
        <w:widowControl/>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14:paraId="19B02C57">
      <w:pPr>
        <w:spacing w:line="560" w:lineRule="exact"/>
        <w:jc w:val="center"/>
        <w:rPr>
          <w:rFonts w:ascii="方正小标宋简体" w:hAnsi="仿宋_GB2312" w:eastAsia="方正小标宋简体" w:cs="仿宋_GB2312"/>
          <w:color w:val="auto"/>
          <w:sz w:val="44"/>
          <w:szCs w:val="44"/>
          <w:highlight w:val="none"/>
        </w:rPr>
      </w:pPr>
      <w:r>
        <w:rPr>
          <w:rFonts w:hint="eastAsia" w:ascii="方正小标宋简体" w:hAnsi="仿宋_GB2312" w:eastAsia="方正小标宋简体" w:cs="仿宋_GB2312"/>
          <w:color w:val="auto"/>
          <w:sz w:val="44"/>
          <w:szCs w:val="44"/>
          <w:highlight w:val="none"/>
        </w:rPr>
        <w:t>响 应 函</w:t>
      </w:r>
    </w:p>
    <w:p w14:paraId="0EB38E14">
      <w:pPr>
        <w:spacing w:line="560" w:lineRule="exact"/>
        <w:jc w:val="center"/>
        <w:rPr>
          <w:rFonts w:ascii="仿宋_GB2312" w:hAnsi="仿宋_GB2312" w:eastAsia="仿宋_GB2312" w:cs="仿宋_GB2312"/>
          <w:color w:val="auto"/>
          <w:sz w:val="32"/>
          <w:szCs w:val="32"/>
          <w:highlight w:val="none"/>
        </w:rPr>
      </w:pPr>
    </w:p>
    <w:p w14:paraId="76B43FE1">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致：深圳书城文化（集团）有限公司</w:t>
      </w:r>
    </w:p>
    <w:p w14:paraId="0ACB152F">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1.根据已收到的贵方采购文件，遵照国家有关政策法规，我方已仔细研究了</w:t>
      </w:r>
      <w:r>
        <w:rPr>
          <w:rFonts w:hint="eastAsia" w:ascii="仿宋_GB2312" w:hAnsi="仿宋_GB2312" w:eastAsia="仿宋_GB2312" w:cs="仿宋_GB2312"/>
          <w:sz w:val="32"/>
          <w:szCs w:val="32"/>
          <w:u w:val="single"/>
        </w:rPr>
        <w:t xml:space="preserve"> 2025年全国新书首发中心活动中介机构咨询服务及媒体宣传服务项目</w:t>
      </w:r>
      <w:r>
        <w:rPr>
          <w:rFonts w:hint="eastAsia" w:ascii="仿宋_GB2312" w:hAnsi="仿宋_GB2312" w:eastAsia="仿宋_GB2312" w:cs="仿宋_GB2312"/>
          <w:sz w:val="32"/>
          <w:szCs w:val="32"/>
        </w:rPr>
        <w:t>的采购文件的全部内容，愿意以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元（填写报价金额，大写+小写）提供本项目服务。</w:t>
      </w:r>
    </w:p>
    <w:p w14:paraId="15E4A021">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2.如我方成交，我方承诺：</w:t>
      </w:r>
    </w:p>
    <w:p w14:paraId="645CCF7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（1）在收到成交通知书后，在成交通知书规定的期限内与你方签订合同。</w:t>
      </w:r>
    </w:p>
    <w:p w14:paraId="0D46234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（2）在签订合同时不向你方提出附加条件。</w:t>
      </w:r>
    </w:p>
    <w:p w14:paraId="0C5B556C">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（3）在合同约定的期限内完成合同约定的全部义务。</w:t>
      </w:r>
    </w:p>
    <w:p w14:paraId="1DCBB6F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3.我方承诺，所递交的响应文件及有关资料的全部内容真实有效，并承担由于提供虚假材料而产生的一切后果。我方愿意提供采购人可能另外要求的、与采购有关的文件资料。</w:t>
      </w:r>
    </w:p>
    <w:p w14:paraId="02439A3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4.我方承诺，我方提交的响应文件及有关资料所涉及的知识产权无偿地许可采购人在本项目中借鉴及使用。</w:t>
      </w:r>
    </w:p>
    <w:p w14:paraId="4912211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5.我方同意所递交的响应文件在询价期内有效，在此期间内我方有可能获得候选权，我方将受此约束。</w:t>
      </w:r>
    </w:p>
    <w:p w14:paraId="03A0FC1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6.我方接受贵方采购文件的全部内容。</w:t>
      </w:r>
    </w:p>
    <w:p w14:paraId="70F9635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7.我方相信贵方的评审结果是公正、合法的，无论我方是否中标，我方将毫无异议地接受这一结果。</w:t>
      </w:r>
    </w:p>
    <w:p w14:paraId="0F0201A3">
      <w:pPr>
        <w:spacing w:line="440" w:lineRule="exact"/>
        <w:rPr>
          <w:rFonts w:hint="eastAsia" w:ascii="仿宋_GB2312" w:hAnsi="仿宋_GB2312" w:eastAsia="仿宋_GB2312" w:cs="仿宋_GB2312"/>
          <w:sz w:val="32"/>
          <w:szCs w:val="32"/>
          <w:u w:val="single"/>
        </w:rPr>
      </w:pPr>
    </w:p>
    <w:p w14:paraId="105776D6">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供应商（公  章）：________________________          </w:t>
      </w:r>
    </w:p>
    <w:p w14:paraId="750024B6">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地址：____________________________________</w:t>
      </w:r>
    </w:p>
    <w:p w14:paraId="3EB10557">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法定代表人（签字或盖章）：_________________</w:t>
      </w:r>
    </w:p>
    <w:p w14:paraId="44C662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color w:val="auto"/>
          <w:sz w:val="24"/>
          <w:szCs w:val="24"/>
          <w:u w:val="single"/>
        </w:rPr>
      </w:pPr>
      <w:r>
        <w:rPr>
          <w:rFonts w:hint="eastAsia" w:ascii="仿宋_GB2312" w:hAnsi="仿宋_GB2312" w:eastAsia="仿宋_GB2312" w:cs="仿宋_GB2312"/>
          <w:b/>
          <w:bCs/>
          <w:sz w:val="32"/>
          <w:szCs w:val="32"/>
        </w:rPr>
        <w:t>日  期：__________________________________</w:t>
      </w:r>
      <w:r>
        <w:rPr>
          <w:rFonts w:hint="eastAsia" w:ascii="仿宋_GB2312" w:hAnsi="仿宋_GB2312" w:eastAsia="仿宋_GB2312" w:cs="仿宋_GB2312"/>
          <w:b/>
          <w:bCs/>
          <w:color w:val="auto"/>
          <w:sz w:val="32"/>
          <w:szCs w:val="32"/>
        </w:rPr>
        <w:t xml:space="preserve"> </w:t>
      </w:r>
    </w:p>
    <w:p w14:paraId="7CAD6E49">
      <w:pPr>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u w:val="single"/>
        </w:rPr>
        <w:br w:type="page"/>
      </w:r>
    </w:p>
    <w:p w14:paraId="6571FCB4">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60F87E19">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法定代表人（负责人）身份证明书</w:t>
      </w:r>
    </w:p>
    <w:p w14:paraId="380A76D3">
      <w:pPr>
        <w:spacing w:line="560" w:lineRule="exact"/>
        <w:jc w:val="center"/>
        <w:rPr>
          <w:rFonts w:hint="eastAsia" w:ascii="仿宋_GB2312" w:hAnsi="仿宋_GB2312" w:eastAsia="仿宋_GB2312" w:cs="仿宋_GB2312"/>
          <w:b/>
          <w:bCs/>
          <w:kern w:val="0"/>
          <w:sz w:val="32"/>
          <w:szCs w:val="32"/>
        </w:rPr>
      </w:pPr>
    </w:p>
    <w:p w14:paraId="047D4C2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14:paraId="55DF434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12566E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2E92014">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048084CC">
      <w:pPr>
        <w:spacing w:line="560" w:lineRule="exact"/>
        <w:rPr>
          <w:rFonts w:hint="eastAsia" w:ascii="仿宋_GB2312" w:hAnsi="仿宋_GB2312" w:eastAsia="仿宋_GB2312" w:cs="仿宋_GB2312"/>
          <w:sz w:val="32"/>
          <w:szCs w:val="32"/>
        </w:rPr>
      </w:pPr>
    </w:p>
    <w:p w14:paraId="51733E4E">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本证明书仅用于本单位</w:t>
      </w:r>
      <w:bookmarkStart w:id="14" w:name="_Hlk65521378"/>
      <w:r>
        <w:rPr>
          <w:rFonts w:hint="eastAsia" w:ascii="仿宋_GB2312" w:hAnsi="仿宋_GB2312" w:eastAsia="仿宋_GB2312" w:cs="仿宋_GB2312"/>
          <w:color w:val="000000"/>
          <w:sz w:val="32"/>
          <w:szCs w:val="32"/>
        </w:rPr>
        <w:t>签署</w:t>
      </w:r>
      <w:r>
        <w:rPr>
          <w:rFonts w:hint="eastAsia" w:ascii="仿宋_GB2312" w:hAnsi="仿宋_GB2312" w:eastAsia="仿宋_GB2312" w:cs="仿宋_GB2312"/>
          <w:color w:val="000000"/>
          <w:sz w:val="32"/>
          <w:szCs w:val="32"/>
          <w:u w:val="single"/>
        </w:rPr>
        <w:t xml:space="preserve"> 深圳书城文化（集团）有限公司 </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u w:val="single"/>
        </w:rPr>
        <w:t xml:space="preserve"> </w:t>
      </w:r>
      <w:bookmarkEnd w:id="14"/>
      <w:r>
        <w:rPr>
          <w:rFonts w:hint="eastAsia" w:ascii="仿宋_GB2312" w:hAnsi="仿宋_GB2312" w:eastAsia="仿宋_GB2312" w:cs="仿宋_GB2312"/>
          <w:sz w:val="32"/>
          <w:szCs w:val="32"/>
          <w:u w:val="single"/>
        </w:rPr>
        <w:t>2025年全国新书首发中心活动中介机构咨询服务及媒体宣传服务项目</w:t>
      </w:r>
      <w:r>
        <w:rPr>
          <w:rFonts w:hint="eastAsia" w:ascii="仿宋_GB2312" w:hAnsi="仿宋_GB2312" w:eastAsia="仿宋_GB2312" w:cs="仿宋_GB2312"/>
          <w:color w:val="000000"/>
          <w:sz w:val="32"/>
          <w:szCs w:val="32"/>
        </w:rPr>
        <w:t>的响应文件、签订合同和处理与之有关的一切事务。</w:t>
      </w:r>
    </w:p>
    <w:p w14:paraId="4D2A190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特此证明。</w:t>
      </w:r>
    </w:p>
    <w:p w14:paraId="630E90C2">
      <w:pPr>
        <w:spacing w:line="560" w:lineRule="exact"/>
        <w:rPr>
          <w:rFonts w:hint="eastAsia" w:ascii="仿宋_GB2312" w:hAnsi="仿宋_GB2312" w:eastAsia="仿宋_GB2312" w:cs="仿宋_GB2312"/>
          <w:sz w:val="32"/>
          <w:szCs w:val="32"/>
        </w:rPr>
      </w:pPr>
    </w:p>
    <w:p w14:paraId="40D4484E">
      <w:pPr>
        <w:spacing w:line="560" w:lineRule="exact"/>
        <w:rPr>
          <w:rFonts w:hint="eastAsia" w:ascii="仿宋_GB2312" w:hAnsi="仿宋_GB2312" w:eastAsia="仿宋_GB2312" w:cs="仿宋_GB2312"/>
          <w:sz w:val="32"/>
          <w:szCs w:val="32"/>
        </w:rPr>
      </w:pPr>
    </w:p>
    <w:p w14:paraId="2AE6AC68">
      <w:pPr>
        <w:spacing w:line="560" w:lineRule="exact"/>
        <w:rPr>
          <w:rFonts w:hint="eastAsia" w:ascii="仿宋_GB2312" w:hAnsi="仿宋_GB2312" w:eastAsia="仿宋_GB2312" w:cs="仿宋_GB2312"/>
          <w:sz w:val="32"/>
          <w:szCs w:val="32"/>
        </w:rPr>
      </w:pPr>
    </w:p>
    <w:p w14:paraId="6E70E3FA">
      <w:pPr>
        <w:spacing w:line="560" w:lineRule="exact"/>
        <w:ind w:firstLine="640" w:firstLineChars="200"/>
        <w:jc w:val="cente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供应商(公章)：</w:t>
      </w:r>
      <w:r>
        <w:rPr>
          <w:rFonts w:hint="eastAsia" w:ascii="仿宋_GB2312" w:hAnsi="仿宋_GB2312" w:eastAsia="仿宋_GB2312" w:cs="仿宋_GB2312"/>
          <w:color w:val="000000"/>
          <w:sz w:val="32"/>
          <w:szCs w:val="32"/>
          <w:u w:val="single"/>
        </w:rPr>
        <w:t xml:space="preserve">                                     </w:t>
      </w:r>
    </w:p>
    <w:p w14:paraId="7BE6D19F">
      <w:pPr>
        <w:spacing w:line="560" w:lineRule="exact"/>
        <w:ind w:firstLine="640" w:firstLineChars="200"/>
        <w:jc w:val="center"/>
        <w:rPr>
          <w:rFonts w:hint="eastAsia" w:ascii="仿宋_GB2312" w:hAnsi="仿宋_GB2312" w:eastAsia="仿宋_GB2312" w:cs="仿宋_GB2312"/>
          <w:color w:val="000000"/>
          <w:sz w:val="32"/>
          <w:szCs w:val="32"/>
        </w:rPr>
      </w:pPr>
    </w:p>
    <w:p w14:paraId="6104BEDD">
      <w:pPr>
        <w:spacing w:line="560" w:lineRule="exact"/>
        <w:ind w:firstLine="3520" w:firstLineChars="11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0E1B191A">
      <w:pPr>
        <w:spacing w:line="560" w:lineRule="exact"/>
        <w:rPr>
          <w:rFonts w:hint="eastAsia" w:ascii="仿宋_GB2312" w:hAnsi="仿宋_GB2312" w:eastAsia="仿宋_GB2312" w:cs="仿宋_GB2312"/>
          <w:color w:val="000000"/>
          <w:sz w:val="32"/>
          <w:szCs w:val="32"/>
          <w:u w:val="single"/>
        </w:rPr>
      </w:pPr>
    </w:p>
    <w:p w14:paraId="409EB4BD">
      <w:pPr>
        <w:spacing w:line="560" w:lineRule="exact"/>
        <w:rPr>
          <w:rFonts w:hint="eastAsia" w:ascii="仿宋_GB2312" w:hAnsi="仿宋_GB2312" w:eastAsia="仿宋_GB2312" w:cs="仿宋_GB2312"/>
          <w:color w:val="000000"/>
          <w:sz w:val="32"/>
          <w:szCs w:val="32"/>
          <w:u w:val="single"/>
        </w:rPr>
      </w:pPr>
    </w:p>
    <w:p w14:paraId="23889CA4">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附：负责人身份证复印件（正反面）。</w:t>
      </w:r>
    </w:p>
    <w:p w14:paraId="4AEDFB39">
      <w:pPr>
        <w:spacing w:line="560" w:lineRule="exact"/>
        <w:rPr>
          <w:rFonts w:hint="eastAsia" w:ascii="仿宋_GB2312" w:hAnsi="仿宋_GB2312" w:eastAsia="仿宋_GB2312" w:cs="仿宋_GB2312"/>
          <w:sz w:val="32"/>
          <w:szCs w:val="32"/>
        </w:rPr>
      </w:pPr>
    </w:p>
    <w:p w14:paraId="6886CEF2">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6BE10FA">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149E125A">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法定代表人（负责人）授权委托书</w:t>
      </w:r>
    </w:p>
    <w:p w14:paraId="0F32BDC5">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（适用于有委托代理人的情况）</w:t>
      </w:r>
    </w:p>
    <w:p w14:paraId="28A6F573">
      <w:pPr>
        <w:spacing w:line="560" w:lineRule="exact"/>
        <w:rPr>
          <w:rFonts w:hint="eastAsia" w:ascii="仿宋_GB2312" w:hAnsi="仿宋_GB2312" w:eastAsia="仿宋_GB2312" w:cs="仿宋_GB2312"/>
          <w:sz w:val="32"/>
          <w:szCs w:val="32"/>
        </w:rPr>
      </w:pPr>
    </w:p>
    <w:p w14:paraId="2823102D">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（法定代表人/负责人姓名）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w:t>
      </w:r>
      <w:r>
        <w:rPr>
          <w:rFonts w:hint="eastAsia" w:ascii="仿宋_GB2312" w:hAnsi="仿宋_GB2312" w:eastAsia="仿宋_GB2312" w:cs="仿宋_GB2312"/>
          <w:sz w:val="32"/>
          <w:szCs w:val="32"/>
        </w:rPr>
        <w:t>的负责人，现授权委托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为我方代理人。代理人根据授权，以我方名义签署、澄清确认、递交、撤回、修改</w:t>
      </w:r>
      <w:bookmarkStart w:id="15" w:name="_Hlk65521456"/>
      <w:r>
        <w:rPr>
          <w:rFonts w:hint="eastAsia" w:ascii="仿宋_GB2312" w:hAnsi="仿宋_GB2312" w:eastAsia="仿宋_GB2312" w:cs="仿宋_GB2312"/>
          <w:b/>
          <w:bCs/>
          <w:sz w:val="32"/>
          <w:szCs w:val="32"/>
          <w:u w:val="single"/>
        </w:rPr>
        <w:t xml:space="preserve"> </w:t>
      </w:r>
      <w:bookmarkEnd w:id="15"/>
      <w:r>
        <w:rPr>
          <w:rFonts w:hint="eastAsia" w:ascii="仿宋_GB2312" w:hAnsi="仿宋_GB2312" w:eastAsia="仿宋_GB2312" w:cs="仿宋_GB2312"/>
          <w:sz w:val="32"/>
          <w:szCs w:val="32"/>
          <w:u w:val="single"/>
        </w:rPr>
        <w:t>2025年全国新书首发中心活动中介机构咨询服务及媒体宣传服务项目</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rPr>
        <w:t>的响应文件、签订合同和处理有关事宜，其法律后果由我方承担。</w:t>
      </w:r>
    </w:p>
    <w:p w14:paraId="643048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委托期限：自本委托书签署之日起至</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u w:val="single"/>
        </w:rPr>
        <w:t xml:space="preserve">2025年全国新书首发中心活动中介机构咨询服务及媒体宣传服务项目 </w:t>
      </w:r>
      <w:r>
        <w:rPr>
          <w:rFonts w:hint="eastAsia" w:ascii="仿宋_GB2312" w:hAnsi="仿宋_GB2312" w:eastAsia="仿宋_GB2312" w:cs="仿宋_GB2312"/>
          <w:sz w:val="32"/>
          <w:szCs w:val="32"/>
        </w:rPr>
        <w:t>签订采购合同之日止。</w:t>
      </w:r>
    </w:p>
    <w:p w14:paraId="2B4E62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757D7365">
      <w:pPr>
        <w:spacing w:line="560" w:lineRule="exact"/>
        <w:rPr>
          <w:rFonts w:hint="eastAsia" w:ascii="仿宋_GB2312" w:hAnsi="仿宋_GB2312" w:eastAsia="仿宋_GB2312" w:cs="仿宋_GB2312"/>
          <w:sz w:val="32"/>
          <w:szCs w:val="32"/>
        </w:rPr>
      </w:pPr>
    </w:p>
    <w:p w14:paraId="68C0F043">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 应 商（公章）：</w:t>
      </w:r>
      <w:r>
        <w:rPr>
          <w:rFonts w:hint="eastAsia" w:ascii="仿宋_GB2312" w:hAnsi="仿宋_GB2312" w:eastAsia="仿宋_GB2312" w:cs="仿宋_GB2312"/>
          <w:sz w:val="32"/>
          <w:szCs w:val="32"/>
          <w:u w:val="single"/>
        </w:rPr>
        <w:t xml:space="preserve">                            </w:t>
      </w:r>
    </w:p>
    <w:p w14:paraId="4CCE1CDF">
      <w:pPr>
        <w:spacing w:line="560" w:lineRule="exact"/>
        <w:ind w:left="1737" w:leftChars="827" w:firstLine="1280" w:firstLineChars="400"/>
        <w:rPr>
          <w:rFonts w:hint="eastAsia" w:ascii="仿宋_GB2312" w:hAnsi="仿宋_GB2312" w:eastAsia="仿宋_GB2312" w:cs="仿宋_GB2312"/>
          <w:sz w:val="32"/>
          <w:szCs w:val="32"/>
          <w:u w:val="single"/>
        </w:rPr>
      </w:pPr>
    </w:p>
    <w:p w14:paraId="1A366B62">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负 责 人（签名）：</w:t>
      </w:r>
      <w:r>
        <w:rPr>
          <w:rFonts w:hint="eastAsia" w:ascii="仿宋_GB2312" w:hAnsi="仿宋_GB2312" w:eastAsia="仿宋_GB2312" w:cs="仿宋_GB2312"/>
          <w:sz w:val="32"/>
          <w:szCs w:val="32"/>
          <w:u w:val="single"/>
        </w:rPr>
        <w:t xml:space="preserve">                            </w:t>
      </w:r>
    </w:p>
    <w:p w14:paraId="34C2564F">
      <w:pPr>
        <w:spacing w:line="560" w:lineRule="exact"/>
        <w:ind w:firstLine="3840" w:firstLineChars="1200"/>
        <w:rPr>
          <w:rFonts w:hint="eastAsia" w:ascii="仿宋_GB2312" w:hAnsi="仿宋_GB2312" w:eastAsia="仿宋_GB2312" w:cs="仿宋_GB2312"/>
          <w:sz w:val="32"/>
          <w:szCs w:val="32"/>
        </w:rPr>
      </w:pPr>
    </w:p>
    <w:p w14:paraId="1E75E806">
      <w:pPr>
        <w:spacing w:line="560" w:lineRule="exact"/>
        <w:ind w:left="1737" w:leftChars="8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p>
    <w:p w14:paraId="2C52E10F">
      <w:pPr>
        <w:spacing w:line="560" w:lineRule="exact"/>
        <w:rPr>
          <w:rFonts w:hint="eastAsia" w:ascii="仿宋_GB2312" w:hAnsi="仿宋_GB2312" w:eastAsia="仿宋_GB2312" w:cs="仿宋_GB2312"/>
          <w:sz w:val="32"/>
          <w:szCs w:val="32"/>
          <w:u w:val="single"/>
        </w:rPr>
      </w:pPr>
    </w:p>
    <w:p w14:paraId="0290BCBE">
      <w:pPr>
        <w:spacing w:line="560" w:lineRule="exact"/>
        <w:jc w:val="left"/>
        <w:rPr>
          <w:rFonts w:hint="eastAsia" w:ascii="仿宋_GB2312" w:hAnsi="仿宋_GB2312" w:eastAsia="仿宋_GB2312" w:cs="仿宋_GB2312"/>
          <w:sz w:val="32"/>
          <w:szCs w:val="32"/>
          <w:u w:val="single"/>
        </w:rPr>
      </w:pPr>
    </w:p>
    <w:p w14:paraId="05A572A9">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附：委托代理人身份证复印件（正反面）。</w:t>
      </w:r>
    </w:p>
    <w:p w14:paraId="0ABABD34">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2ED40F3E">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附件5：</w:t>
      </w:r>
    </w:p>
    <w:p w14:paraId="4B4FB8A3">
      <w:pPr>
        <w:pStyle w:val="9"/>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供应商基本情况表</w:t>
      </w:r>
    </w:p>
    <w:p w14:paraId="4C6B1563">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2"/>
        <w:tblW w:w="933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43"/>
        <w:gridCol w:w="1606"/>
        <w:gridCol w:w="1162"/>
        <w:gridCol w:w="576"/>
        <w:gridCol w:w="1200"/>
        <w:gridCol w:w="1500"/>
        <w:gridCol w:w="1651"/>
      </w:tblGrid>
      <w:tr w14:paraId="7552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40" w:type="dxa"/>
            <w:gridSpan w:val="2"/>
            <w:vAlign w:val="center"/>
          </w:tcPr>
          <w:p w14:paraId="43205E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768" w:type="dxa"/>
            <w:gridSpan w:val="2"/>
            <w:vAlign w:val="center"/>
          </w:tcPr>
          <w:p w14:paraId="4BD3E8F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vAlign w:val="center"/>
          </w:tcPr>
          <w:p w14:paraId="1B9D5CB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3151" w:type="dxa"/>
            <w:gridSpan w:val="2"/>
            <w:vAlign w:val="center"/>
          </w:tcPr>
          <w:p w14:paraId="7EFAC48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0CB1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40" w:type="dxa"/>
            <w:gridSpan w:val="2"/>
            <w:vAlign w:val="center"/>
          </w:tcPr>
          <w:p w14:paraId="70559CC3">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768" w:type="dxa"/>
            <w:gridSpan w:val="2"/>
            <w:vAlign w:val="center"/>
          </w:tcPr>
          <w:p w14:paraId="1F6BC86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vAlign w:val="center"/>
          </w:tcPr>
          <w:p w14:paraId="04F49A26">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3151" w:type="dxa"/>
            <w:gridSpan w:val="2"/>
            <w:vAlign w:val="center"/>
          </w:tcPr>
          <w:p w14:paraId="36CA5F2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26F6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7EBCAAE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176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499BDE4C">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49" w:type="dxa"/>
            <w:gridSpan w:val="2"/>
            <w:tcBorders>
              <w:bottom w:val="single" w:color="auto" w:sz="4" w:space="0"/>
            </w:tcBorders>
            <w:vAlign w:val="center"/>
          </w:tcPr>
          <w:p w14:paraId="7BABF3B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162" w:type="dxa"/>
            <w:tcBorders>
              <w:bottom w:val="single" w:color="auto" w:sz="4" w:space="0"/>
            </w:tcBorders>
            <w:vAlign w:val="center"/>
          </w:tcPr>
          <w:p w14:paraId="0EB1486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76" w:type="dxa"/>
            <w:gridSpan w:val="2"/>
            <w:tcBorders>
              <w:bottom w:val="single" w:color="auto" w:sz="4" w:space="0"/>
            </w:tcBorders>
            <w:vAlign w:val="center"/>
          </w:tcPr>
          <w:p w14:paraId="4232CB8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31B660B8">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3CA93D8C">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651" w:type="dxa"/>
            <w:tcBorders>
              <w:bottom w:val="single" w:color="auto" w:sz="4" w:space="0"/>
            </w:tcBorders>
            <w:vAlign w:val="center"/>
          </w:tcPr>
          <w:p w14:paraId="43AB015F">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1260675E">
            <w:pPr>
              <w:keepNext w:val="0"/>
              <w:keepLines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2441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97" w:type="dxa"/>
            <w:tcBorders>
              <w:top w:val="single" w:color="auto" w:sz="4" w:space="0"/>
              <w:left w:val="single" w:color="auto" w:sz="4" w:space="0"/>
              <w:bottom w:val="single" w:color="auto" w:sz="4" w:space="0"/>
              <w:right w:val="single" w:color="auto" w:sz="4" w:space="0"/>
            </w:tcBorders>
            <w:vAlign w:val="center"/>
          </w:tcPr>
          <w:p w14:paraId="5EDC620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7A9ABEA">
            <w:pPr>
              <w:keepNext w:val="0"/>
              <w:keepLines w:val="0"/>
              <w:suppressLineNumbers w:val="0"/>
              <w:spacing w:before="0" w:beforeAutospacing="0" w:after="0" w:afterAutospacing="0" w:line="460" w:lineRule="exact"/>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162" w:type="dxa"/>
            <w:tcBorders>
              <w:top w:val="single" w:color="auto" w:sz="4" w:space="0"/>
              <w:left w:val="single" w:color="auto" w:sz="4" w:space="0"/>
              <w:bottom w:val="single" w:color="auto" w:sz="4" w:space="0"/>
              <w:right w:val="single" w:color="auto" w:sz="4" w:space="0"/>
            </w:tcBorders>
            <w:vAlign w:val="center"/>
          </w:tcPr>
          <w:p w14:paraId="5335162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369F064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DC1535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4CA6561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7215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04B24B8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70967C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162" w:type="dxa"/>
            <w:tcBorders>
              <w:top w:val="single" w:color="auto" w:sz="4" w:space="0"/>
              <w:left w:val="single" w:color="auto" w:sz="4" w:space="0"/>
              <w:bottom w:val="single" w:color="auto" w:sz="4" w:space="0"/>
              <w:right w:val="single" w:color="auto" w:sz="4" w:space="0"/>
            </w:tcBorders>
            <w:vAlign w:val="center"/>
          </w:tcPr>
          <w:p w14:paraId="4EDEBA9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51A944B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65BEF99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6A7A54D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72BD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tcBorders>
            <w:vAlign w:val="center"/>
          </w:tcPr>
          <w:p w14:paraId="4CA8920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49" w:type="dxa"/>
            <w:gridSpan w:val="2"/>
            <w:tcBorders>
              <w:top w:val="single" w:color="auto" w:sz="4" w:space="0"/>
            </w:tcBorders>
            <w:vAlign w:val="center"/>
          </w:tcPr>
          <w:p w14:paraId="79F6EBE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162" w:type="dxa"/>
            <w:tcBorders>
              <w:top w:val="single" w:color="auto" w:sz="4" w:space="0"/>
            </w:tcBorders>
            <w:vAlign w:val="center"/>
          </w:tcPr>
          <w:p w14:paraId="10C4390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tcBorders>
              <w:top w:val="single" w:color="auto" w:sz="4" w:space="0"/>
            </w:tcBorders>
            <w:vAlign w:val="center"/>
          </w:tcPr>
          <w:p w14:paraId="52CCD28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16B5711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651" w:type="dxa"/>
            <w:tcBorders>
              <w:top w:val="single" w:color="auto" w:sz="4" w:space="0"/>
            </w:tcBorders>
            <w:vAlign w:val="center"/>
          </w:tcPr>
          <w:p w14:paraId="49C0565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5CDB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78EC74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49" w:type="dxa"/>
            <w:gridSpan w:val="2"/>
            <w:vAlign w:val="center"/>
          </w:tcPr>
          <w:p w14:paraId="6B8021F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162" w:type="dxa"/>
            <w:vAlign w:val="center"/>
          </w:tcPr>
          <w:p w14:paraId="2DA3265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vAlign w:val="center"/>
          </w:tcPr>
          <w:p w14:paraId="6703BBE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500" w:type="dxa"/>
            <w:vAlign w:val="center"/>
          </w:tcPr>
          <w:p w14:paraId="154BE83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651" w:type="dxa"/>
            <w:vAlign w:val="center"/>
          </w:tcPr>
          <w:p w14:paraId="1C17EC9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1AAB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85BA6E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49" w:type="dxa"/>
            <w:gridSpan w:val="2"/>
            <w:vAlign w:val="center"/>
          </w:tcPr>
          <w:p w14:paraId="6F1F52D8">
            <w:pPr>
              <w:pStyle w:val="3"/>
              <w:keepNext w:val="0"/>
              <w:keepLines w:val="0"/>
              <w:suppressLineNumbers w:val="0"/>
              <w:snapToGrid w:val="0"/>
              <w:spacing w:before="0" w:beforeAutospacing="0" w:after="0" w:afterAutospacing="0"/>
              <w:ind w:left="0" w:right="0" w:firstLine="44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162" w:type="dxa"/>
            <w:vAlign w:val="center"/>
          </w:tcPr>
          <w:p w14:paraId="1FBA21C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776" w:type="dxa"/>
            <w:gridSpan w:val="2"/>
            <w:vAlign w:val="center"/>
          </w:tcPr>
          <w:p w14:paraId="42AEAC2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500" w:type="dxa"/>
            <w:vAlign w:val="center"/>
          </w:tcPr>
          <w:p w14:paraId="420E49D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1651" w:type="dxa"/>
            <w:vAlign w:val="center"/>
          </w:tcPr>
          <w:p w14:paraId="3933FE3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r>
      <w:tr w14:paraId="4459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455AB837">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75E8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35" w:type="dxa"/>
            <w:gridSpan w:val="8"/>
            <w:vAlign w:val="center"/>
          </w:tcPr>
          <w:p w14:paraId="4A3532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5CBB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75EDBAB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49" w:type="dxa"/>
            <w:gridSpan w:val="2"/>
            <w:tcBorders>
              <w:bottom w:val="single" w:color="auto" w:sz="4" w:space="0"/>
            </w:tcBorders>
            <w:vAlign w:val="center"/>
          </w:tcPr>
          <w:p w14:paraId="3C210D5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738" w:type="dxa"/>
            <w:gridSpan w:val="2"/>
            <w:tcBorders>
              <w:bottom w:val="single" w:color="auto" w:sz="4" w:space="0"/>
            </w:tcBorders>
            <w:vAlign w:val="center"/>
          </w:tcPr>
          <w:p w14:paraId="5B0AB7F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351" w:type="dxa"/>
            <w:gridSpan w:val="3"/>
            <w:tcBorders>
              <w:bottom w:val="single" w:color="auto" w:sz="4" w:space="0"/>
            </w:tcBorders>
            <w:vAlign w:val="center"/>
          </w:tcPr>
          <w:p w14:paraId="4540A9B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43B5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298DD91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1CE520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32E788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48D237D8">
            <w:pPr>
              <w:keepNext w:val="0"/>
              <w:keepLines w:val="0"/>
              <w:suppressLineNumbers w:val="0"/>
              <w:snapToGrid w:val="0"/>
              <w:spacing w:before="0" w:beforeAutospacing="0" w:after="0" w:afterAutospacing="0"/>
              <w:ind w:left="0" w:right="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61AB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19DD0B1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FFFCF4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3C04AD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2303BE5F">
            <w:pPr>
              <w:keepNext w:val="0"/>
              <w:keepLines w:val="0"/>
              <w:suppressLineNumbers w:val="0"/>
              <w:snapToGrid w:val="0"/>
              <w:spacing w:before="0" w:beforeAutospacing="0" w:after="0" w:afterAutospacing="0"/>
              <w:ind w:left="0" w:right="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4E28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tcBorders>
              <w:top w:val="single" w:color="auto" w:sz="4" w:space="0"/>
              <w:left w:val="single" w:color="auto" w:sz="4" w:space="0"/>
              <w:bottom w:val="single" w:color="auto" w:sz="4" w:space="0"/>
              <w:right w:val="single" w:color="auto" w:sz="4" w:space="0"/>
            </w:tcBorders>
            <w:vAlign w:val="center"/>
          </w:tcPr>
          <w:p w14:paraId="7BED000E">
            <w:pPr>
              <w:keepNext w:val="0"/>
              <w:keepLines w:val="0"/>
              <w:suppressLineNumbers w:val="0"/>
              <w:snapToGrid w:val="0"/>
              <w:spacing w:before="0" w:beforeAutospacing="0" w:after="0" w:afterAutospacing="0"/>
              <w:ind w:left="0" w:right="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7F5AD16F">
      <w:pPr>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u w:val="single"/>
        </w:rPr>
        <w:br w:type="page"/>
      </w:r>
    </w:p>
    <w:p w14:paraId="5685C0BB">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w:t>
      </w:r>
    </w:p>
    <w:p w14:paraId="5BA1195B">
      <w:pPr>
        <w:pStyle w:val="9"/>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w:t>
      </w:r>
      <w:r>
        <w:rPr>
          <w:rFonts w:hint="eastAsia" w:ascii="方正小标宋简体" w:hAnsi="方正小标宋简体" w:eastAsia="方正小标宋简体" w:cs="方正小标宋简体"/>
          <w:b w:val="0"/>
          <w:bCs w:val="0"/>
          <w:lang w:val="en-US" w:eastAsia="zh-CN"/>
        </w:rPr>
        <w:t>商务</w:t>
      </w:r>
      <w:r>
        <w:rPr>
          <w:rFonts w:hint="eastAsia" w:ascii="方正小标宋简体" w:hAnsi="方正小标宋简体" w:eastAsia="方正小标宋简体" w:cs="方正小标宋简体"/>
          <w:b w:val="0"/>
          <w:bCs w:val="0"/>
        </w:rPr>
        <w:t>业绩一览表</w:t>
      </w:r>
    </w:p>
    <w:p w14:paraId="60CD9D66">
      <w:pPr>
        <w:rPr>
          <w:rFonts w:hint="eastAsia" w:ascii="方正小标宋简体" w:hAnsi="方正小标宋简体" w:eastAsia="方正小标宋简体" w:cs="方正小标宋简体"/>
          <w:b w:val="0"/>
          <w:bCs w:val="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995"/>
        <w:gridCol w:w="2160"/>
        <w:gridCol w:w="1471"/>
        <w:gridCol w:w="1710"/>
      </w:tblGrid>
      <w:tr w14:paraId="5F58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86" w:type="dxa"/>
            <w:vAlign w:val="center"/>
          </w:tcPr>
          <w:p w14:paraId="3AF1E2A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995" w:type="dxa"/>
            <w:vAlign w:val="center"/>
          </w:tcPr>
          <w:p w14:paraId="06B97E68">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推文</w:t>
            </w:r>
            <w:r>
              <w:rPr>
                <w:rFonts w:hint="eastAsia" w:ascii="仿宋_GB2312" w:hAnsi="仿宋_GB2312" w:eastAsia="仿宋_GB2312" w:cs="仿宋_GB2312"/>
                <w:color w:val="auto"/>
                <w:sz w:val="24"/>
                <w:szCs w:val="24"/>
              </w:rPr>
              <w:t>内容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标题）</w:t>
            </w:r>
          </w:p>
        </w:tc>
        <w:tc>
          <w:tcPr>
            <w:tcW w:w="2160" w:type="dxa"/>
            <w:vAlign w:val="center"/>
          </w:tcPr>
          <w:p w14:paraId="5B245BAC">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服务单位（企业）</w:t>
            </w:r>
          </w:p>
        </w:tc>
        <w:tc>
          <w:tcPr>
            <w:tcW w:w="1471" w:type="dxa"/>
            <w:vAlign w:val="center"/>
          </w:tcPr>
          <w:p w14:paraId="064E35F4">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单位/企业所属性质</w:t>
            </w:r>
          </w:p>
        </w:tc>
        <w:tc>
          <w:tcPr>
            <w:tcW w:w="1710" w:type="dxa"/>
            <w:vAlign w:val="center"/>
          </w:tcPr>
          <w:p w14:paraId="7F26DBBF">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服务时间</w:t>
            </w:r>
          </w:p>
        </w:tc>
      </w:tr>
      <w:tr w14:paraId="0F4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6F8B5D49">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995" w:type="dxa"/>
            <w:vAlign w:val="center"/>
          </w:tcPr>
          <w:p w14:paraId="795DD161">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sz w:val="24"/>
                <w:szCs w:val="24"/>
                <w:lang w:val="en-US"/>
              </w:rPr>
            </w:pPr>
          </w:p>
        </w:tc>
        <w:tc>
          <w:tcPr>
            <w:tcW w:w="2160" w:type="dxa"/>
            <w:vAlign w:val="center"/>
          </w:tcPr>
          <w:p w14:paraId="3019D6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471" w:type="dxa"/>
            <w:vAlign w:val="center"/>
          </w:tcPr>
          <w:p w14:paraId="0F4E7FDF">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政府单位/国有企业/私营企业）</w:t>
            </w:r>
          </w:p>
        </w:tc>
        <w:tc>
          <w:tcPr>
            <w:tcW w:w="1710" w:type="dxa"/>
            <w:vAlign w:val="center"/>
          </w:tcPr>
          <w:p w14:paraId="27E2E71A">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01BC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58F20A5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995" w:type="dxa"/>
            <w:vAlign w:val="center"/>
          </w:tcPr>
          <w:p w14:paraId="423C410E">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2ADDC7E2">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08A6BE3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7D6A0EE7">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27CE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4C4FB36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995" w:type="dxa"/>
            <w:vAlign w:val="center"/>
          </w:tcPr>
          <w:p w14:paraId="06C35611">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505C2E08">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2A59066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053CBE46">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3692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3260B76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995" w:type="dxa"/>
            <w:vAlign w:val="center"/>
          </w:tcPr>
          <w:p w14:paraId="13C5D6B9">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61A93F8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3F285B7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4645E5C4">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4563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6D31553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995" w:type="dxa"/>
            <w:vAlign w:val="center"/>
          </w:tcPr>
          <w:p w14:paraId="68004FCA">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3486ECF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03696D5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1C9B731F">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bl>
    <w:p w14:paraId="56D415F1">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p>
    <w:p w14:paraId="1CE394AC">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4D00F871">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1.此表</w:t>
      </w:r>
      <w:r>
        <w:rPr>
          <w:rFonts w:hint="eastAsia" w:ascii="仿宋_GB2312" w:hAnsi="仿宋_GB2312" w:eastAsia="仿宋_GB2312" w:cs="仿宋_GB2312"/>
          <w:color w:val="auto"/>
          <w:sz w:val="24"/>
          <w:szCs w:val="24"/>
          <w:lang w:val="en-US" w:eastAsia="zh-CN"/>
        </w:rPr>
        <w:t>格</w:t>
      </w:r>
      <w:r>
        <w:rPr>
          <w:rFonts w:hint="eastAsia" w:ascii="仿宋_GB2312" w:hAnsi="仿宋_GB2312" w:eastAsia="仿宋_GB2312" w:cs="仿宋_GB2312"/>
          <w:color w:val="auto"/>
          <w:sz w:val="24"/>
          <w:szCs w:val="24"/>
        </w:rPr>
        <w:t>可延长补充及说明；</w:t>
      </w:r>
    </w:p>
    <w:p w14:paraId="71E141B4">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2.若提供的</w:t>
      </w:r>
      <w:r>
        <w:rPr>
          <w:rFonts w:hint="eastAsia" w:ascii="仿宋_GB2312" w:hAnsi="仿宋_GB2312" w:eastAsia="仿宋_GB2312" w:cs="仿宋_GB2312"/>
          <w:color w:val="auto"/>
          <w:sz w:val="24"/>
          <w:szCs w:val="24"/>
          <w:lang w:val="en-US" w:eastAsia="zh-CN"/>
        </w:rPr>
        <w:t>商务</w:t>
      </w:r>
      <w:r>
        <w:rPr>
          <w:rFonts w:hint="eastAsia" w:ascii="仿宋_GB2312" w:hAnsi="仿宋_GB2312" w:eastAsia="仿宋_GB2312" w:cs="仿宋_GB2312"/>
          <w:color w:val="auto"/>
          <w:sz w:val="24"/>
          <w:szCs w:val="24"/>
        </w:rPr>
        <w:t>业绩多于五项的，只针对《供应商</w:t>
      </w:r>
      <w:r>
        <w:rPr>
          <w:rFonts w:hint="eastAsia" w:ascii="仿宋_GB2312" w:hAnsi="仿宋_GB2312" w:eastAsia="仿宋_GB2312" w:cs="仿宋_GB2312"/>
          <w:color w:val="auto"/>
          <w:sz w:val="24"/>
          <w:szCs w:val="24"/>
          <w:lang w:val="en-US" w:eastAsia="zh-CN"/>
        </w:rPr>
        <w:t>商务</w:t>
      </w:r>
      <w:r>
        <w:rPr>
          <w:rFonts w:hint="eastAsia" w:ascii="仿宋_GB2312" w:hAnsi="仿宋_GB2312" w:eastAsia="仿宋_GB2312" w:cs="仿宋_GB2312"/>
          <w:color w:val="auto"/>
          <w:sz w:val="24"/>
          <w:szCs w:val="24"/>
        </w:rPr>
        <w:t>业绩一览表》前五项业绩及其证明资料进行打分。</w:t>
      </w:r>
    </w:p>
    <w:p w14:paraId="535C1101">
      <w:pPr>
        <w:rPr>
          <w:rFonts w:hint="eastAsia" w:ascii="方正小标宋简体" w:hAnsi="方正小标宋简体" w:eastAsia="方正小标宋简体" w:cs="方正小标宋简体"/>
          <w:b w:val="0"/>
          <w:bCs w:val="0"/>
        </w:rPr>
        <w:sectPr>
          <w:footerReference r:id="rId3" w:type="default"/>
          <w:pgSz w:w="11906" w:h="16838"/>
          <w:pgMar w:top="1440" w:right="1800" w:bottom="1440" w:left="1800" w:header="851" w:footer="992" w:gutter="0"/>
          <w:pgNumType w:fmt="decimal"/>
          <w:cols w:space="425" w:num="1"/>
          <w:docGrid w:type="lines" w:linePitch="312" w:charSpace="0"/>
        </w:sectPr>
      </w:pPr>
    </w:p>
    <w:p w14:paraId="35CEBDC9">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w:t>
      </w:r>
    </w:p>
    <w:p w14:paraId="3D4C68EE">
      <w:pPr>
        <w:pStyle w:val="9"/>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w:t>
      </w:r>
      <w:r>
        <w:rPr>
          <w:rFonts w:hint="eastAsia" w:ascii="方正小标宋简体" w:hAnsi="方正小标宋简体" w:eastAsia="方正小标宋简体" w:cs="方正小标宋简体"/>
          <w:b w:val="0"/>
          <w:bCs w:val="0"/>
          <w:lang w:val="en-US" w:eastAsia="zh-CN"/>
        </w:rPr>
        <w:t>服务案例</w:t>
      </w:r>
      <w:r>
        <w:rPr>
          <w:rFonts w:hint="eastAsia" w:ascii="方正小标宋简体" w:hAnsi="方正小标宋简体" w:eastAsia="方正小标宋简体" w:cs="方正小标宋简体"/>
          <w:b w:val="0"/>
          <w:bCs w:val="0"/>
        </w:rPr>
        <w:t>一览表</w:t>
      </w:r>
    </w:p>
    <w:p w14:paraId="2BE81A9F">
      <w:pPr>
        <w:rPr>
          <w:rFonts w:hint="eastAsia" w:ascii="方正小标宋简体" w:hAnsi="方正小标宋简体" w:eastAsia="方正小标宋简体" w:cs="方正小标宋简体"/>
          <w:b w:val="0"/>
          <w:bCs w:val="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995"/>
        <w:gridCol w:w="2160"/>
        <w:gridCol w:w="1471"/>
        <w:gridCol w:w="1710"/>
      </w:tblGrid>
      <w:tr w14:paraId="1344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86" w:type="dxa"/>
            <w:vAlign w:val="center"/>
          </w:tcPr>
          <w:p w14:paraId="76F2E39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995" w:type="dxa"/>
            <w:vAlign w:val="center"/>
          </w:tcPr>
          <w:p w14:paraId="6FC8F16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推文</w:t>
            </w:r>
            <w:r>
              <w:rPr>
                <w:rFonts w:hint="eastAsia" w:ascii="仿宋_GB2312" w:hAnsi="仿宋_GB2312" w:eastAsia="仿宋_GB2312" w:cs="仿宋_GB2312"/>
                <w:color w:val="auto"/>
                <w:sz w:val="24"/>
                <w:szCs w:val="24"/>
              </w:rPr>
              <w:t>内容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标题）</w:t>
            </w:r>
          </w:p>
        </w:tc>
        <w:tc>
          <w:tcPr>
            <w:tcW w:w="2160" w:type="dxa"/>
            <w:vAlign w:val="center"/>
          </w:tcPr>
          <w:p w14:paraId="113B40FF">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服务单位（企业）</w:t>
            </w:r>
          </w:p>
        </w:tc>
        <w:tc>
          <w:tcPr>
            <w:tcW w:w="1471" w:type="dxa"/>
            <w:vAlign w:val="center"/>
          </w:tcPr>
          <w:p w14:paraId="3A44706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推文阅读量</w:t>
            </w:r>
          </w:p>
        </w:tc>
        <w:tc>
          <w:tcPr>
            <w:tcW w:w="1710" w:type="dxa"/>
            <w:vAlign w:val="center"/>
          </w:tcPr>
          <w:p w14:paraId="704F763D">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服务时间</w:t>
            </w:r>
          </w:p>
        </w:tc>
      </w:tr>
      <w:tr w14:paraId="25C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3D887E3B">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995" w:type="dxa"/>
            <w:vAlign w:val="center"/>
          </w:tcPr>
          <w:p w14:paraId="5BE1E202">
            <w:pPr>
              <w:keepNext w:val="0"/>
              <w:keepLines w:val="0"/>
              <w:suppressLineNumbers w:val="0"/>
              <w:spacing w:before="0" w:beforeAutospacing="0" w:after="0" w:afterAutospacing="0"/>
              <w:ind w:left="0" w:right="0"/>
              <w:jc w:val="left"/>
              <w:rPr>
                <w:rFonts w:hint="default" w:ascii="仿宋_GB2312" w:hAnsi="仿宋_GB2312" w:eastAsia="仿宋_GB2312" w:cs="仿宋_GB2312"/>
                <w:color w:val="auto"/>
                <w:sz w:val="24"/>
                <w:szCs w:val="24"/>
                <w:lang w:val="en-US"/>
              </w:rPr>
            </w:pPr>
          </w:p>
        </w:tc>
        <w:tc>
          <w:tcPr>
            <w:tcW w:w="2160" w:type="dxa"/>
            <w:vAlign w:val="center"/>
          </w:tcPr>
          <w:p w14:paraId="089F3CA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471" w:type="dxa"/>
            <w:vAlign w:val="center"/>
          </w:tcPr>
          <w:p w14:paraId="3489C7D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rPr>
            </w:pPr>
          </w:p>
        </w:tc>
        <w:tc>
          <w:tcPr>
            <w:tcW w:w="1710" w:type="dxa"/>
            <w:vAlign w:val="center"/>
          </w:tcPr>
          <w:p w14:paraId="2A472602">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456C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44AA4CD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995" w:type="dxa"/>
            <w:vAlign w:val="center"/>
          </w:tcPr>
          <w:p w14:paraId="301F717D">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5C324D58">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632C876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0BB9B46C">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243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5" w:hRule="atLeast"/>
          <w:jc w:val="center"/>
        </w:trPr>
        <w:tc>
          <w:tcPr>
            <w:tcW w:w="1186" w:type="dxa"/>
            <w:vAlign w:val="center"/>
          </w:tcPr>
          <w:p w14:paraId="306DF88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995" w:type="dxa"/>
            <w:vAlign w:val="center"/>
          </w:tcPr>
          <w:p w14:paraId="5984A908">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6E7E33E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67F380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207C5431">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35FF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2BB4C03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995" w:type="dxa"/>
            <w:vAlign w:val="center"/>
          </w:tcPr>
          <w:p w14:paraId="3E2B22C5">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5CB06D88">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71BAAB0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4965B07A">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r w14:paraId="70F2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86" w:type="dxa"/>
            <w:vAlign w:val="center"/>
          </w:tcPr>
          <w:p w14:paraId="10D6185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995" w:type="dxa"/>
            <w:vAlign w:val="center"/>
          </w:tcPr>
          <w:p w14:paraId="3260FA63">
            <w:pPr>
              <w:keepNext w:val="0"/>
              <w:keepLines w:val="0"/>
              <w:suppressLineNumbers w:val="0"/>
              <w:spacing w:before="0" w:beforeAutospacing="0" w:after="0" w:afterAutospacing="0"/>
              <w:ind w:left="0" w:right="0"/>
              <w:jc w:val="left"/>
              <w:rPr>
                <w:rFonts w:hint="eastAsia" w:ascii="仿宋_GB2312" w:hAnsi="等线 Light" w:eastAsia="仿宋_GB2312" w:cs="Times New Roman"/>
                <w:color w:val="auto"/>
                <w:sz w:val="24"/>
                <w:szCs w:val="24"/>
                <w:lang w:val="en-US" w:eastAsia="zh-CN"/>
              </w:rPr>
            </w:pPr>
          </w:p>
        </w:tc>
        <w:tc>
          <w:tcPr>
            <w:tcW w:w="2160" w:type="dxa"/>
            <w:vAlign w:val="center"/>
          </w:tcPr>
          <w:p w14:paraId="32409AAD">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szCs w:val="24"/>
                <w:lang w:val="en-US" w:eastAsia="zh-CN"/>
              </w:rPr>
            </w:pPr>
          </w:p>
        </w:tc>
        <w:tc>
          <w:tcPr>
            <w:tcW w:w="1471" w:type="dxa"/>
            <w:vAlign w:val="center"/>
          </w:tcPr>
          <w:p w14:paraId="510E92D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tc>
        <w:tc>
          <w:tcPr>
            <w:tcW w:w="1710" w:type="dxa"/>
            <w:vAlign w:val="center"/>
          </w:tcPr>
          <w:p w14:paraId="41845C24">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kern w:val="0"/>
                <w:sz w:val="24"/>
                <w:szCs w:val="24"/>
              </w:rPr>
            </w:pPr>
          </w:p>
        </w:tc>
      </w:tr>
    </w:tbl>
    <w:p w14:paraId="59C1E0C2">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p>
    <w:p w14:paraId="02520721">
      <w:pPr>
        <w:keepNext w:val="0"/>
        <w:keepLines w:val="0"/>
        <w:pageBreakBefore w:val="0"/>
        <w:widowControl w:val="0"/>
        <w:kinsoku/>
        <w:wordWrap/>
        <w:overflowPunct/>
        <w:topLinePunct w:val="0"/>
        <w:autoSpaceDE/>
        <w:autoSpaceDN/>
        <w:bidi w:val="0"/>
        <w:spacing w:line="440" w:lineRule="exac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p>
    <w:p w14:paraId="62E6C7B7">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1.此表</w:t>
      </w:r>
      <w:r>
        <w:rPr>
          <w:rFonts w:hint="eastAsia" w:ascii="仿宋_GB2312" w:hAnsi="仿宋_GB2312" w:eastAsia="仿宋_GB2312" w:cs="仿宋_GB2312"/>
          <w:color w:val="auto"/>
          <w:sz w:val="24"/>
          <w:szCs w:val="24"/>
          <w:lang w:val="en-US" w:eastAsia="zh-CN"/>
        </w:rPr>
        <w:t>格</w:t>
      </w:r>
      <w:r>
        <w:rPr>
          <w:rFonts w:hint="eastAsia" w:ascii="仿宋_GB2312" w:hAnsi="仿宋_GB2312" w:eastAsia="仿宋_GB2312" w:cs="仿宋_GB2312"/>
          <w:color w:val="auto"/>
          <w:sz w:val="24"/>
          <w:szCs w:val="24"/>
        </w:rPr>
        <w:t>可延长补充及说明；</w:t>
      </w:r>
    </w:p>
    <w:p w14:paraId="3C365A00">
      <w:pPr>
        <w:keepNext w:val="0"/>
        <w:keepLines w:val="0"/>
        <w:pageBreakBefore w:val="0"/>
        <w:widowControl w:val="0"/>
        <w:kinsoku/>
        <w:wordWrap/>
        <w:overflowPunct/>
        <w:topLinePunct w:val="0"/>
        <w:autoSpaceDE/>
        <w:autoSpaceDN/>
        <w:bidi w:val="0"/>
        <w:adjustRightInd w:val="0"/>
        <w:snapToGrid w:val="0"/>
        <w:spacing w:line="44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2.若提供的</w:t>
      </w:r>
      <w:r>
        <w:rPr>
          <w:rFonts w:hint="eastAsia" w:ascii="仿宋_GB2312" w:hAnsi="仿宋_GB2312" w:eastAsia="仿宋_GB2312" w:cs="仿宋_GB2312"/>
          <w:color w:val="auto"/>
          <w:sz w:val="24"/>
          <w:szCs w:val="24"/>
          <w:lang w:val="en-US" w:eastAsia="zh-CN"/>
        </w:rPr>
        <w:t>服务案例</w:t>
      </w:r>
      <w:r>
        <w:rPr>
          <w:rFonts w:hint="eastAsia" w:ascii="仿宋_GB2312" w:hAnsi="仿宋_GB2312" w:eastAsia="仿宋_GB2312" w:cs="仿宋_GB2312"/>
          <w:color w:val="auto"/>
          <w:sz w:val="24"/>
          <w:szCs w:val="24"/>
        </w:rPr>
        <w:t>多于五项的，只针对《供应商</w:t>
      </w:r>
      <w:r>
        <w:rPr>
          <w:rFonts w:hint="eastAsia" w:ascii="仿宋_GB2312" w:hAnsi="仿宋_GB2312" w:eastAsia="仿宋_GB2312" w:cs="仿宋_GB2312"/>
          <w:color w:val="auto"/>
          <w:sz w:val="24"/>
          <w:szCs w:val="24"/>
          <w:lang w:val="en-US" w:eastAsia="zh-CN"/>
        </w:rPr>
        <w:t>服务案例</w:t>
      </w:r>
      <w:r>
        <w:rPr>
          <w:rFonts w:hint="eastAsia" w:ascii="仿宋_GB2312" w:hAnsi="仿宋_GB2312" w:eastAsia="仿宋_GB2312" w:cs="仿宋_GB2312"/>
          <w:color w:val="auto"/>
          <w:sz w:val="24"/>
          <w:szCs w:val="24"/>
        </w:rPr>
        <w:t>一览表》前五项</w:t>
      </w:r>
      <w:r>
        <w:rPr>
          <w:rFonts w:hint="eastAsia" w:ascii="仿宋_GB2312" w:hAnsi="仿宋_GB2312" w:eastAsia="仿宋_GB2312" w:cs="仿宋_GB2312"/>
          <w:color w:val="auto"/>
          <w:sz w:val="24"/>
          <w:szCs w:val="24"/>
          <w:lang w:val="en-US" w:eastAsia="zh-CN"/>
        </w:rPr>
        <w:t>案例</w:t>
      </w:r>
      <w:r>
        <w:rPr>
          <w:rFonts w:hint="eastAsia" w:ascii="仿宋_GB2312" w:hAnsi="仿宋_GB2312" w:eastAsia="仿宋_GB2312" w:cs="仿宋_GB2312"/>
          <w:color w:val="auto"/>
          <w:sz w:val="24"/>
          <w:szCs w:val="24"/>
        </w:rPr>
        <w:t>及其证明资料进行打分。</w:t>
      </w:r>
    </w:p>
    <w:p w14:paraId="31BE73A6">
      <w:pPr>
        <w:rPr>
          <w:rFonts w:hint="eastAsia" w:ascii="方正小标宋简体" w:hAnsi="方正小标宋简体" w:eastAsia="方正小标宋简体" w:cs="方正小标宋简体"/>
          <w:b w:val="0"/>
          <w:bCs w:val="0"/>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76540D-705B-4355-996B-B33938F0C9D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0E5588A-500A-47BF-A0DB-A04A5C2F4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4B49DF4-F406-4068-9078-7FAE9AF1051C}"/>
  </w:font>
  <w:font w:name="等线">
    <w:panose1 w:val="02010600030101010101"/>
    <w:charset w:val="86"/>
    <w:family w:val="auto"/>
    <w:pitch w:val="default"/>
    <w:sig w:usb0="A00002BF" w:usb1="38CF7CFA" w:usb2="00000016" w:usb3="00000000" w:csb0="0004000F" w:csb1="00000000"/>
    <w:embedRegular r:id="rId4" w:fontKey="{CD620952-6572-4756-A45E-6E8493EB3701}"/>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36B28D11-531F-4758-96BC-FDD2B66E93AF}"/>
  </w:font>
  <w:font w:name="等线 Light">
    <w:panose1 w:val="02010600030101010101"/>
    <w:charset w:val="86"/>
    <w:family w:val="auto"/>
    <w:pitch w:val="default"/>
    <w:sig w:usb0="A00002BF" w:usb1="38CF7CFA" w:usb2="00000016" w:usb3="00000000" w:csb0="0004000F" w:csb1="00000000"/>
    <w:embedRegular r:id="rId6" w:fontKey="{66908C02-AA74-4DF3-B398-75F651E9FB53}"/>
  </w:font>
  <w:font w:name="楷体_GB2312">
    <w:panose1 w:val="02010609030101010101"/>
    <w:charset w:val="86"/>
    <w:family w:val="modern"/>
    <w:pitch w:val="default"/>
    <w:sig w:usb0="00000001" w:usb1="080E0000" w:usb2="00000000" w:usb3="00000000" w:csb0="00040000" w:csb1="00000000"/>
    <w:embedRegular r:id="rId7" w:fontKey="{0E47FC25-0F18-4FC8-A91C-FD7373AD24B4}"/>
  </w:font>
  <w:font w:name="仿宋">
    <w:panose1 w:val="02010609060101010101"/>
    <w:charset w:val="86"/>
    <w:family w:val="auto"/>
    <w:pitch w:val="default"/>
    <w:sig w:usb0="800002BF" w:usb1="38CF7CFA" w:usb2="00000016" w:usb3="00000000" w:csb0="00040001" w:csb1="00000000"/>
    <w:embedRegular r:id="rId8" w:fontKey="{DFCCC2E8-ADC0-41B8-8962-A354DB405065}"/>
  </w:font>
  <w:font w:name="Wingdings 2">
    <w:panose1 w:val="05020102010507070707"/>
    <w:charset w:val="02"/>
    <w:family w:val="roman"/>
    <w:pitch w:val="default"/>
    <w:sig w:usb0="00000000" w:usb1="00000000" w:usb2="00000000" w:usb3="00000000" w:csb0="80000000" w:csb1="00000000"/>
    <w:embedRegular r:id="rId9" w:fontKey="{B55BD6AF-7829-4694-B72E-7BD4855BEE31}"/>
  </w:font>
  <w:font w:name="楷体">
    <w:panose1 w:val="02010609060101010101"/>
    <w:charset w:val="86"/>
    <w:family w:val="modern"/>
    <w:pitch w:val="default"/>
    <w:sig w:usb0="800002BF" w:usb1="38CF7CFA" w:usb2="00000016" w:usb3="00000000" w:csb0="00040001" w:csb1="00000000"/>
    <w:embedRegular r:id="rId10" w:fontKey="{89E089BF-6A34-4128-BE9E-6B8793F4914C}"/>
  </w:font>
  <w:font w:name="方正仿宋_GBK">
    <w:altName w:val="微软雅黑"/>
    <w:panose1 w:val="00000000000000000000"/>
    <w:charset w:val="00"/>
    <w:family w:val="auto"/>
    <w:pitch w:val="default"/>
    <w:sig w:usb0="00000000" w:usb1="00000000" w:usb2="00000000" w:usb3="00000000" w:csb0="00040000" w:csb1="00000000"/>
    <w:embedRegular r:id="rId11" w:fontKey="{5425B475-0B33-4662-91B0-79F9968ED726}"/>
  </w:font>
  <w:font w:name="微软雅黑">
    <w:panose1 w:val="020B0503020204020204"/>
    <w:charset w:val="86"/>
    <w:family w:val="auto"/>
    <w:pitch w:val="default"/>
    <w:sig w:usb0="80000287" w:usb1="2ACF3C50" w:usb2="00000016" w:usb3="00000000" w:csb0="0004001F" w:csb1="00000000"/>
    <w:embedRegular r:id="rId12" w:fontKey="{DF753CE0-0E8B-4004-B54D-664614C57ED9}"/>
  </w:font>
  <w:font w:name="Malgun Gothic Semilight">
    <w:panose1 w:val="020B0502040204020203"/>
    <w:charset w:val="86"/>
    <w:family w:val="swiss"/>
    <w:pitch w:val="default"/>
    <w:sig w:usb0="900002AF" w:usb1="01D77CFB" w:usb2="00000012" w:usb3="00000000" w:csb0="203E01BD" w:csb1="D7FF0000"/>
    <w:embedRegular r:id="rId13" w:fontKey="{BC2C1B0F-0220-4FE4-8C1C-7C69E6D666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C01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59A0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59A0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52C7F"/>
    <w:multiLevelType w:val="multilevel"/>
    <w:tmpl w:val="79952C7F"/>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OGE1NDQwYWI2N2ZjZjhkNjg1MzhhMTc2OGJhN2MifQ=="/>
  </w:docVars>
  <w:rsids>
    <w:rsidRoot w:val="00295848"/>
    <w:rsid w:val="000143FD"/>
    <w:rsid w:val="0001601F"/>
    <w:rsid w:val="000E1C37"/>
    <w:rsid w:val="001044DF"/>
    <w:rsid w:val="001C788F"/>
    <w:rsid w:val="002237C7"/>
    <w:rsid w:val="00295848"/>
    <w:rsid w:val="002F3FE6"/>
    <w:rsid w:val="003E4311"/>
    <w:rsid w:val="004450CC"/>
    <w:rsid w:val="0048280E"/>
    <w:rsid w:val="004A3BB6"/>
    <w:rsid w:val="00524D77"/>
    <w:rsid w:val="00540A41"/>
    <w:rsid w:val="006C2309"/>
    <w:rsid w:val="00736FE3"/>
    <w:rsid w:val="0075194C"/>
    <w:rsid w:val="007678EA"/>
    <w:rsid w:val="007E4E20"/>
    <w:rsid w:val="008100C4"/>
    <w:rsid w:val="008609E1"/>
    <w:rsid w:val="008B31AC"/>
    <w:rsid w:val="0092598A"/>
    <w:rsid w:val="009517D2"/>
    <w:rsid w:val="00963FEC"/>
    <w:rsid w:val="00A160EA"/>
    <w:rsid w:val="00A923C2"/>
    <w:rsid w:val="00AD4B62"/>
    <w:rsid w:val="00BF0C6D"/>
    <w:rsid w:val="00C0192C"/>
    <w:rsid w:val="00C17509"/>
    <w:rsid w:val="00C7582B"/>
    <w:rsid w:val="00DD56F0"/>
    <w:rsid w:val="00F53CB9"/>
    <w:rsid w:val="021D4C24"/>
    <w:rsid w:val="02401036"/>
    <w:rsid w:val="02405F8A"/>
    <w:rsid w:val="03256924"/>
    <w:rsid w:val="049B67B0"/>
    <w:rsid w:val="07A6733B"/>
    <w:rsid w:val="07CA6A21"/>
    <w:rsid w:val="08AB26B4"/>
    <w:rsid w:val="08F43AA3"/>
    <w:rsid w:val="094B38F4"/>
    <w:rsid w:val="09B41737"/>
    <w:rsid w:val="0A2F210F"/>
    <w:rsid w:val="0B027DDF"/>
    <w:rsid w:val="0C8D2A18"/>
    <w:rsid w:val="0DA27AF9"/>
    <w:rsid w:val="116E7FE3"/>
    <w:rsid w:val="13B775C5"/>
    <w:rsid w:val="14976F7E"/>
    <w:rsid w:val="150B0969"/>
    <w:rsid w:val="15B92401"/>
    <w:rsid w:val="16904413"/>
    <w:rsid w:val="18433A70"/>
    <w:rsid w:val="184A4E79"/>
    <w:rsid w:val="189F3B10"/>
    <w:rsid w:val="18CE1F5A"/>
    <w:rsid w:val="1A5149DE"/>
    <w:rsid w:val="1A5A732B"/>
    <w:rsid w:val="1ABD6FCE"/>
    <w:rsid w:val="1AC12C54"/>
    <w:rsid w:val="1B0E38EF"/>
    <w:rsid w:val="1E3801C0"/>
    <w:rsid w:val="1E78669D"/>
    <w:rsid w:val="21151474"/>
    <w:rsid w:val="224439AE"/>
    <w:rsid w:val="22FE4E63"/>
    <w:rsid w:val="253F3F84"/>
    <w:rsid w:val="27282656"/>
    <w:rsid w:val="28304227"/>
    <w:rsid w:val="28AF1D44"/>
    <w:rsid w:val="301265CB"/>
    <w:rsid w:val="30A50FC3"/>
    <w:rsid w:val="30CD2521"/>
    <w:rsid w:val="32601BAD"/>
    <w:rsid w:val="3307027A"/>
    <w:rsid w:val="33DD16F4"/>
    <w:rsid w:val="37645C9B"/>
    <w:rsid w:val="37B341FB"/>
    <w:rsid w:val="387373C2"/>
    <w:rsid w:val="3913458B"/>
    <w:rsid w:val="3AC848A5"/>
    <w:rsid w:val="3C7C75E3"/>
    <w:rsid w:val="3D0E00A0"/>
    <w:rsid w:val="3E803F5F"/>
    <w:rsid w:val="3EA86E93"/>
    <w:rsid w:val="3EA921F1"/>
    <w:rsid w:val="3F5577CE"/>
    <w:rsid w:val="3F62555C"/>
    <w:rsid w:val="414626AC"/>
    <w:rsid w:val="472E1592"/>
    <w:rsid w:val="4768697E"/>
    <w:rsid w:val="4B11243C"/>
    <w:rsid w:val="4DFF0074"/>
    <w:rsid w:val="4E067654"/>
    <w:rsid w:val="4EE07627"/>
    <w:rsid w:val="4F1A6600"/>
    <w:rsid w:val="4F605C65"/>
    <w:rsid w:val="50EF6964"/>
    <w:rsid w:val="552000A3"/>
    <w:rsid w:val="55DA152F"/>
    <w:rsid w:val="56D74769"/>
    <w:rsid w:val="56F4688C"/>
    <w:rsid w:val="58E14FD7"/>
    <w:rsid w:val="5A68742D"/>
    <w:rsid w:val="5ABC17C7"/>
    <w:rsid w:val="5B4C54F9"/>
    <w:rsid w:val="604223DA"/>
    <w:rsid w:val="60A24FBB"/>
    <w:rsid w:val="62DF1F64"/>
    <w:rsid w:val="63FD6D10"/>
    <w:rsid w:val="64504D2E"/>
    <w:rsid w:val="64E75692"/>
    <w:rsid w:val="65C048AF"/>
    <w:rsid w:val="65E06FC3"/>
    <w:rsid w:val="67DE61E5"/>
    <w:rsid w:val="69F33097"/>
    <w:rsid w:val="6AF200E6"/>
    <w:rsid w:val="6BCB6B4F"/>
    <w:rsid w:val="6D8A6FA3"/>
    <w:rsid w:val="6DB63E53"/>
    <w:rsid w:val="6EF076F6"/>
    <w:rsid w:val="70CF736D"/>
    <w:rsid w:val="73591F53"/>
    <w:rsid w:val="73E96571"/>
    <w:rsid w:val="76B97C7B"/>
    <w:rsid w:val="76EE044E"/>
    <w:rsid w:val="791D7447"/>
    <w:rsid w:val="7A083C89"/>
    <w:rsid w:val="7FF5783B"/>
    <w:rsid w:val="CEBE88B7"/>
    <w:rsid w:val="F6E3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99"/>
    <w:pPr>
      <w:widowControl/>
      <w:spacing w:line="360" w:lineRule="auto"/>
      <w:ind w:firstLine="200" w:firstLineChars="200"/>
    </w:pPr>
    <w:rPr>
      <w:szCs w:val="24"/>
    </w:rPr>
  </w:style>
  <w:style w:type="paragraph" w:styleId="4">
    <w:name w:val="annotation text"/>
    <w:basedOn w:val="1"/>
    <w:link w:val="21"/>
    <w:qFormat/>
    <w:uiPriority w:val="99"/>
    <w:pPr>
      <w:jc w:val="left"/>
    </w:pPr>
  </w:style>
  <w:style w:type="paragraph" w:styleId="5">
    <w:name w:val="Balloon Text"/>
    <w:basedOn w:val="1"/>
    <w:link w:val="18"/>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itle"/>
    <w:basedOn w:val="1"/>
    <w:next w:val="1"/>
    <w:qFormat/>
    <w:uiPriority w:val="99"/>
    <w:pPr>
      <w:spacing w:line="560" w:lineRule="exact"/>
      <w:jc w:val="center"/>
      <w:outlineLvl w:val="0"/>
    </w:pPr>
    <w:rPr>
      <w:rFonts w:ascii="宋体" w:hAnsi="宋体" w:eastAsia="宋体"/>
      <w:b/>
      <w:bCs/>
      <w:sz w:val="44"/>
      <w:szCs w:val="44"/>
    </w:rPr>
  </w:style>
  <w:style w:type="paragraph" w:styleId="10">
    <w:name w:val="annotation subject"/>
    <w:basedOn w:val="4"/>
    <w:next w:val="4"/>
    <w:link w:val="22"/>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color w:val="0563C1"/>
      <w:u w:val="single"/>
    </w:rPr>
  </w:style>
  <w:style w:type="character" w:styleId="15">
    <w:name w:val="annotation reference"/>
    <w:basedOn w:val="13"/>
    <w:qFormat/>
    <w:uiPriority w:val="99"/>
    <w:rPr>
      <w:sz w:val="21"/>
      <w:szCs w:val="21"/>
    </w:rPr>
  </w:style>
  <w:style w:type="paragraph" w:customStyle="1" w:styleId="16">
    <w:name w:val="样式1"/>
    <w:basedOn w:val="17"/>
    <w:autoRedefine/>
    <w:qFormat/>
    <w:uiPriority w:val="0"/>
    <w:pPr>
      <w:spacing w:line="360" w:lineRule="auto"/>
      <w:ind w:firstLine="640" w:firstLineChars="200"/>
    </w:pPr>
    <w:rPr>
      <w:sz w:val="24"/>
    </w:rPr>
  </w:style>
  <w:style w:type="paragraph" w:styleId="17">
    <w:name w:val="List Paragraph"/>
    <w:basedOn w:val="1"/>
    <w:autoRedefine/>
    <w:qFormat/>
    <w:uiPriority w:val="34"/>
    <w:pPr>
      <w:ind w:firstLine="420" w:firstLineChars="200"/>
    </w:pPr>
    <w:rPr>
      <w:rFonts w:asciiTheme="minorHAnsi" w:hAnsiTheme="minorHAnsi" w:eastAsiaTheme="minorEastAsia" w:cstheme="minorBidi"/>
    </w:rPr>
  </w:style>
  <w:style w:type="character" w:customStyle="1" w:styleId="18">
    <w:name w:val="批注框文本 字符"/>
    <w:basedOn w:val="13"/>
    <w:link w:val="5"/>
    <w:qFormat/>
    <w:uiPriority w:val="99"/>
    <w:rPr>
      <w:sz w:val="18"/>
      <w:szCs w:val="18"/>
    </w:rPr>
  </w:style>
  <w:style w:type="character" w:customStyle="1" w:styleId="19">
    <w:name w:val="页眉 字符"/>
    <w:basedOn w:val="13"/>
    <w:link w:val="7"/>
    <w:qFormat/>
    <w:uiPriority w:val="99"/>
    <w:rPr>
      <w:sz w:val="18"/>
      <w:szCs w:val="18"/>
    </w:rPr>
  </w:style>
  <w:style w:type="character" w:customStyle="1" w:styleId="20">
    <w:name w:val="页脚 字符"/>
    <w:basedOn w:val="13"/>
    <w:link w:val="6"/>
    <w:qFormat/>
    <w:uiPriority w:val="99"/>
    <w:rPr>
      <w:sz w:val="18"/>
      <w:szCs w:val="18"/>
    </w:rPr>
  </w:style>
  <w:style w:type="character" w:customStyle="1" w:styleId="21">
    <w:name w:val="批注文字 字符"/>
    <w:basedOn w:val="13"/>
    <w:link w:val="4"/>
    <w:qFormat/>
    <w:uiPriority w:val="99"/>
  </w:style>
  <w:style w:type="character" w:customStyle="1" w:styleId="22">
    <w:name w:val="批注主题 字符"/>
    <w:basedOn w:val="21"/>
    <w:link w:val="10"/>
    <w:qFormat/>
    <w:uiPriority w:val="99"/>
    <w:rPr>
      <w:b/>
      <w:bCs/>
    </w:rPr>
  </w:style>
  <w:style w:type="character" w:customStyle="1" w:styleId="23">
    <w:name w:val="未处理的提及1"/>
    <w:basedOn w:val="13"/>
    <w:qFormat/>
    <w:uiPriority w:val="99"/>
    <w:rPr>
      <w:color w:val="605E5C"/>
      <w:shd w:val="clear" w:color="auto" w:fill="E1DFDD"/>
    </w:rPr>
  </w:style>
  <w:style w:type="paragraph" w:customStyle="1" w:styleId="24">
    <w:name w:val="Revision"/>
    <w:hidden/>
    <w:semiHidden/>
    <w:qFormat/>
    <w:uiPriority w:val="99"/>
    <w:rPr>
      <w:rFonts w:ascii="等线" w:hAnsi="等线" w:eastAsia="等线" w:cs="宋体"/>
      <w:kern w:val="2"/>
      <w:sz w:val="21"/>
      <w:szCs w:val="22"/>
      <w:lang w:val="en-US" w:eastAsia="zh-CN" w:bidi="ar-SA"/>
    </w:rPr>
  </w:style>
  <w:style w:type="table" w:customStyle="1" w:styleId="25">
    <w:name w:val="网格型1"/>
    <w:basedOn w:val="11"/>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2"/>
    <w:basedOn w:val="11"/>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3"/>
    <w:link w:val="2"/>
    <w:qFormat/>
    <w:uiPriority w:val="9"/>
    <w:rPr>
      <w:b/>
      <w:bCs/>
      <w:kern w:val="44"/>
      <w:sz w:val="44"/>
      <w:szCs w:val="44"/>
    </w:rPr>
  </w:style>
  <w:style w:type="paragraph" w:customStyle="1" w:styleId="2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5559</Words>
  <Characters>5868</Characters>
  <Lines>56</Lines>
  <Paragraphs>15</Paragraphs>
  <TotalTime>0</TotalTime>
  <ScaleCrop>false</ScaleCrop>
  <LinksUpToDate>false</LinksUpToDate>
  <CharactersWithSpaces>6097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2023-03-29T00:12:00Z</dcterms:created>
  <dc:creator>谢剑英</dc:creator>
  <cp:lastModifiedBy>simplehaonan</cp:lastModifiedBy>
  <cp:lastPrinted>2023-08-09T22:55:00Z</cp:lastPrinted>
  <dcterms:modified xsi:type="dcterms:W3CDTF">2025-12-04T08:06:44Z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E5E4B9A29D53F1894FAB1C67E740EACC_43</vt:lpwstr>
  </property>
  <property fmtid="{D5CDD505-2E9C-101B-9397-08002B2CF9AE}" pid="4" name="KSOTemplateDocerSaveRecord">
    <vt:lpwstr>eyJoZGlkIjoiYjM3ZWY4NWIzYmEzYjdiNDRkMzNmNWZlMGJhZjdmZGEiLCJ1c2VySWQiOiIxMTM0Mjk1NTQzIn0=</vt:lpwstr>
  </property>
</Properties>
</file>