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D5E09">
      <w:pPr>
        <w:ind w:firstLine="480"/>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sz w:val="28"/>
          <w:szCs w:val="24"/>
          <w:lang w:val="en-US" w:eastAsia="zh-CN"/>
        </w:rPr>
        <w:t>附件：</w:t>
      </w:r>
    </w:p>
    <w:p w14:paraId="0D8FB704">
      <w:pPr>
        <w:ind w:firstLine="480"/>
      </w:pPr>
    </w:p>
    <w:p w14:paraId="0A15A9AD">
      <w:pPr>
        <w:ind w:firstLine="480"/>
      </w:pPr>
    </w:p>
    <w:p w14:paraId="2788C2CC">
      <w:pPr>
        <w:ind w:firstLine="480"/>
      </w:pPr>
    </w:p>
    <w:p w14:paraId="3EF31EBE">
      <w:pPr>
        <w:ind w:firstLine="0" w:firstLineChars="0"/>
        <w:jc w:val="center"/>
        <w:rPr>
          <w:rFonts w:ascii="仿宋_GB2312" w:eastAsia="仿宋_GB2312"/>
          <w:b/>
          <w:bCs/>
          <w:sz w:val="52"/>
          <w:szCs w:val="48"/>
        </w:rPr>
      </w:pPr>
    </w:p>
    <w:p w14:paraId="56B36CAF">
      <w:pPr>
        <w:ind w:firstLine="0" w:firstLineChars="0"/>
        <w:jc w:val="center"/>
        <w:rPr>
          <w:rFonts w:ascii="仿宋_GB2312" w:eastAsia="仿宋_GB2312"/>
          <w:b/>
          <w:bCs/>
          <w:sz w:val="52"/>
          <w:szCs w:val="48"/>
        </w:rPr>
      </w:pPr>
      <w:r>
        <w:rPr>
          <w:rFonts w:hint="eastAsia" w:ascii="仿宋_GB2312" w:eastAsia="仿宋_GB2312"/>
          <w:b/>
          <w:bCs/>
          <w:sz w:val="52"/>
          <w:szCs w:val="48"/>
        </w:rPr>
        <w:t>深圳书城龙华城</w:t>
      </w:r>
      <w:r>
        <w:rPr>
          <w:rFonts w:hint="eastAsia" w:ascii="仿宋_GB2312" w:eastAsia="仿宋_GB2312"/>
          <w:b/>
          <w:bCs/>
          <w:sz w:val="52"/>
          <w:szCs w:val="48"/>
          <w:lang w:val="en-US" w:eastAsia="zh-CN"/>
        </w:rPr>
        <w:t>2025年10月-2026年9月电梯维保</w:t>
      </w:r>
      <w:r>
        <w:rPr>
          <w:rFonts w:hint="eastAsia" w:ascii="仿宋_GB2312" w:eastAsia="仿宋_GB2312"/>
          <w:b/>
          <w:bCs/>
          <w:sz w:val="52"/>
          <w:szCs w:val="48"/>
        </w:rPr>
        <w:t>项目采购文件</w:t>
      </w:r>
    </w:p>
    <w:p w14:paraId="66749838">
      <w:pPr>
        <w:ind w:firstLine="480"/>
      </w:pPr>
    </w:p>
    <w:p w14:paraId="4F3EB1C3">
      <w:pPr>
        <w:ind w:firstLine="480"/>
      </w:pPr>
    </w:p>
    <w:p w14:paraId="37D321C8">
      <w:pPr>
        <w:ind w:firstLine="480"/>
      </w:pPr>
    </w:p>
    <w:p w14:paraId="4A8DE911">
      <w:pPr>
        <w:ind w:firstLine="480"/>
      </w:pPr>
    </w:p>
    <w:p w14:paraId="4D2DB8F5">
      <w:pPr>
        <w:ind w:firstLine="480"/>
      </w:pPr>
    </w:p>
    <w:p w14:paraId="6F94EA37">
      <w:pPr>
        <w:ind w:firstLine="480"/>
      </w:pPr>
    </w:p>
    <w:p w14:paraId="5435C72B">
      <w:pPr>
        <w:ind w:firstLine="480"/>
      </w:pPr>
    </w:p>
    <w:p w14:paraId="3884E728">
      <w:pPr>
        <w:ind w:firstLine="480"/>
      </w:pPr>
    </w:p>
    <w:p w14:paraId="2A899E7A">
      <w:pPr>
        <w:ind w:firstLine="480"/>
      </w:pPr>
    </w:p>
    <w:p w14:paraId="1A02B3C4">
      <w:pPr>
        <w:ind w:firstLine="480"/>
      </w:pPr>
    </w:p>
    <w:p w14:paraId="2E326FAE">
      <w:pPr>
        <w:ind w:firstLine="480"/>
      </w:pPr>
    </w:p>
    <w:p w14:paraId="691CCD6A">
      <w:pPr>
        <w:ind w:firstLine="480"/>
      </w:pPr>
    </w:p>
    <w:p w14:paraId="3DCBCF2B">
      <w:pPr>
        <w:ind w:firstLine="480"/>
      </w:pPr>
    </w:p>
    <w:p w14:paraId="1426C0A5">
      <w:pPr>
        <w:ind w:firstLine="0" w:firstLineChars="0"/>
        <w:jc w:val="center"/>
        <w:rPr>
          <w:rFonts w:ascii="仿宋_GB2312" w:eastAsia="仿宋_GB2312"/>
          <w:b/>
          <w:bCs/>
          <w:sz w:val="36"/>
          <w:szCs w:val="32"/>
        </w:rPr>
      </w:pPr>
    </w:p>
    <w:p w14:paraId="7135A4FA">
      <w:pPr>
        <w:ind w:firstLine="0" w:firstLineChars="0"/>
        <w:jc w:val="center"/>
        <w:rPr>
          <w:rFonts w:ascii="仿宋_GB2312" w:eastAsia="仿宋_GB2312" w:cs="Times New Roman"/>
          <w:b/>
          <w:bCs/>
          <w:sz w:val="36"/>
          <w:szCs w:val="36"/>
        </w:rPr>
      </w:pPr>
      <w:r>
        <w:rPr>
          <w:rFonts w:hint="eastAsia" w:ascii="仿宋_GB2312" w:eastAsia="仿宋_GB2312"/>
          <w:b/>
          <w:bCs/>
          <w:sz w:val="36"/>
          <w:szCs w:val="32"/>
        </w:rPr>
        <w:t>深圳书城龙华城实业有限公司</w:t>
      </w:r>
    </w:p>
    <w:p w14:paraId="69C79842">
      <w:pPr>
        <w:ind w:firstLine="480"/>
      </w:pPr>
    </w:p>
    <w:p w14:paraId="0F362B90">
      <w:pPr>
        <w:ind w:firstLine="480"/>
      </w:pPr>
    </w:p>
    <w:p w14:paraId="48581E49">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目录</w:t>
      </w:r>
    </w:p>
    <w:p w14:paraId="6A37997A">
      <w:pPr>
        <w:pStyle w:val="7"/>
        <w:ind w:firstLine="440"/>
      </w:pPr>
    </w:p>
    <w:p w14:paraId="73FEF19D">
      <w:pPr>
        <w:pStyle w:val="7"/>
        <w:tabs>
          <w:tab w:val="right" w:leader="dot" w:pos="8296"/>
        </w:tabs>
        <w:ind w:firstLine="440"/>
        <w:rPr>
          <w:rFonts w:cstheme="minorBidi"/>
          <w:kern w:val="2"/>
          <w:sz w:val="21"/>
          <w14:ligatures w14:val="standardContextual"/>
        </w:rPr>
      </w:pPr>
      <w:r>
        <w:fldChar w:fldCharType="begin"/>
      </w:r>
      <w:r>
        <w:instrText xml:space="preserve"> TOC \o "1-1" \h \z \u </w:instrText>
      </w:r>
      <w:r>
        <w:fldChar w:fldCharType="separate"/>
      </w:r>
      <w:r>
        <w:fldChar w:fldCharType="begin"/>
      </w:r>
      <w:r>
        <w:instrText xml:space="preserve"> HYPERLINK \l "_Toc161594377" </w:instrText>
      </w:r>
      <w:r>
        <w:fldChar w:fldCharType="separate"/>
      </w:r>
      <w:r>
        <w:rPr>
          <w:rStyle w:val="12"/>
        </w:rPr>
        <w:t>第一章 询价采购公告</w:t>
      </w:r>
      <w:r>
        <w:tab/>
      </w:r>
      <w:r>
        <w:fldChar w:fldCharType="begin"/>
      </w:r>
      <w:r>
        <w:instrText xml:space="preserve"> PAGEREF _Toc161594377 \h </w:instrText>
      </w:r>
      <w:r>
        <w:fldChar w:fldCharType="separate"/>
      </w:r>
      <w:r>
        <w:t>3</w:t>
      </w:r>
      <w:r>
        <w:fldChar w:fldCharType="end"/>
      </w:r>
      <w:r>
        <w:fldChar w:fldCharType="end"/>
      </w:r>
    </w:p>
    <w:p w14:paraId="56B21D42">
      <w:pPr>
        <w:pStyle w:val="7"/>
        <w:tabs>
          <w:tab w:val="right" w:leader="dot" w:pos="8296"/>
        </w:tabs>
        <w:ind w:firstLine="440"/>
        <w:rPr>
          <w:rFonts w:cstheme="minorBidi"/>
          <w:kern w:val="2"/>
          <w:sz w:val="21"/>
          <w14:ligatures w14:val="standardContextual"/>
        </w:rPr>
      </w:pPr>
      <w:r>
        <w:fldChar w:fldCharType="begin"/>
      </w:r>
      <w:r>
        <w:instrText xml:space="preserve"> HYPERLINK \l "_Toc161594378" </w:instrText>
      </w:r>
      <w:r>
        <w:fldChar w:fldCharType="separate"/>
      </w:r>
      <w:r>
        <w:rPr>
          <w:rStyle w:val="12"/>
        </w:rPr>
        <w:t>第二章 采购需求</w:t>
      </w:r>
      <w:r>
        <w:tab/>
      </w:r>
      <w:r>
        <w:fldChar w:fldCharType="begin"/>
      </w:r>
      <w:r>
        <w:instrText xml:space="preserve"> PAGEREF _Toc161594378 \h </w:instrText>
      </w:r>
      <w:r>
        <w:fldChar w:fldCharType="separate"/>
      </w:r>
      <w:r>
        <w:t>5</w:t>
      </w:r>
      <w:r>
        <w:fldChar w:fldCharType="end"/>
      </w:r>
      <w:r>
        <w:fldChar w:fldCharType="end"/>
      </w:r>
    </w:p>
    <w:p w14:paraId="74F39D15">
      <w:pPr>
        <w:pStyle w:val="7"/>
        <w:tabs>
          <w:tab w:val="right" w:leader="dot" w:pos="8296"/>
        </w:tabs>
        <w:ind w:firstLine="440"/>
        <w:rPr>
          <w:rFonts w:cstheme="minorBidi"/>
          <w:kern w:val="2"/>
          <w:sz w:val="21"/>
          <w14:ligatures w14:val="standardContextual"/>
        </w:rPr>
      </w:pPr>
      <w:r>
        <w:fldChar w:fldCharType="begin"/>
      </w:r>
      <w:r>
        <w:instrText xml:space="preserve"> HYPERLINK \l "_Toc161594379" </w:instrText>
      </w:r>
      <w:r>
        <w:fldChar w:fldCharType="separate"/>
      </w:r>
      <w:r>
        <w:rPr>
          <w:rStyle w:val="12"/>
        </w:rPr>
        <w:t>第三章 响应单位须知</w:t>
      </w:r>
      <w:r>
        <w:tab/>
      </w:r>
      <w:r>
        <w:fldChar w:fldCharType="begin"/>
      </w:r>
      <w:r>
        <w:instrText xml:space="preserve"> PAGEREF _Toc161594379 \h </w:instrText>
      </w:r>
      <w:r>
        <w:fldChar w:fldCharType="separate"/>
      </w:r>
      <w:r>
        <w:t>6</w:t>
      </w:r>
      <w:r>
        <w:fldChar w:fldCharType="end"/>
      </w:r>
      <w:r>
        <w:fldChar w:fldCharType="end"/>
      </w:r>
    </w:p>
    <w:p w14:paraId="44C20B88">
      <w:pPr>
        <w:pStyle w:val="7"/>
        <w:tabs>
          <w:tab w:val="right" w:leader="dot" w:pos="8296"/>
        </w:tabs>
        <w:ind w:firstLine="440"/>
        <w:rPr>
          <w:rFonts w:cstheme="minorBidi"/>
          <w:kern w:val="2"/>
          <w:sz w:val="21"/>
          <w14:ligatures w14:val="standardContextual"/>
        </w:rPr>
      </w:pPr>
      <w:r>
        <w:fldChar w:fldCharType="begin"/>
      </w:r>
      <w:r>
        <w:instrText xml:space="preserve"> HYPERLINK \l "_Toc161594380" </w:instrText>
      </w:r>
      <w:r>
        <w:fldChar w:fldCharType="separate"/>
      </w:r>
      <w:r>
        <w:rPr>
          <w:rStyle w:val="12"/>
        </w:rPr>
        <w:t>第四章 合同签订及其他</w:t>
      </w:r>
      <w:r>
        <w:tab/>
      </w:r>
      <w:r>
        <w:fldChar w:fldCharType="begin"/>
      </w:r>
      <w:r>
        <w:instrText xml:space="preserve"> PAGEREF _Toc161594380 \h </w:instrText>
      </w:r>
      <w:r>
        <w:fldChar w:fldCharType="separate"/>
      </w:r>
      <w:r>
        <w:t>9</w:t>
      </w:r>
      <w:r>
        <w:fldChar w:fldCharType="end"/>
      </w:r>
      <w:r>
        <w:fldChar w:fldCharType="end"/>
      </w:r>
    </w:p>
    <w:p w14:paraId="6735A594">
      <w:pPr>
        <w:pStyle w:val="7"/>
        <w:tabs>
          <w:tab w:val="right" w:leader="dot" w:pos="8296"/>
        </w:tabs>
        <w:ind w:firstLine="440"/>
        <w:rPr>
          <w:rFonts w:cstheme="minorBidi"/>
          <w:kern w:val="2"/>
          <w:sz w:val="21"/>
          <w14:ligatures w14:val="standardContextual"/>
        </w:rPr>
      </w:pPr>
      <w:r>
        <w:fldChar w:fldCharType="begin"/>
      </w:r>
      <w:r>
        <w:instrText xml:space="preserve"> HYPERLINK \l "_Toc161594381" </w:instrText>
      </w:r>
      <w:r>
        <w:fldChar w:fldCharType="separate"/>
      </w:r>
      <w:r>
        <w:rPr>
          <w:rStyle w:val="12"/>
        </w:rPr>
        <w:t>第五章 附件</w:t>
      </w:r>
      <w:r>
        <w:tab/>
      </w:r>
      <w:r>
        <w:fldChar w:fldCharType="begin"/>
      </w:r>
      <w:r>
        <w:instrText xml:space="preserve"> PAGEREF _Toc161594381 \h </w:instrText>
      </w:r>
      <w:r>
        <w:fldChar w:fldCharType="separate"/>
      </w:r>
      <w:r>
        <w:t>18</w:t>
      </w:r>
      <w:r>
        <w:fldChar w:fldCharType="end"/>
      </w:r>
      <w:r>
        <w:fldChar w:fldCharType="end"/>
      </w:r>
    </w:p>
    <w:p w14:paraId="7D6C6D4B">
      <w:pPr>
        <w:ind w:firstLine="480"/>
      </w:pPr>
      <w:r>
        <w:fldChar w:fldCharType="end"/>
      </w:r>
    </w:p>
    <w:p w14:paraId="47AC3F93">
      <w:pPr>
        <w:ind w:firstLine="480"/>
      </w:pPr>
      <w:r>
        <w:br w:type="page"/>
      </w:r>
    </w:p>
    <w:p w14:paraId="61C4969E">
      <w:pPr>
        <w:pStyle w:val="2"/>
        <w:ind w:firstLine="720"/>
      </w:pPr>
      <w:bookmarkStart w:id="0" w:name="_Toc161594377"/>
      <w:r>
        <w:rPr>
          <w:rFonts w:hint="eastAsia"/>
        </w:rPr>
        <w:t>第一章 询价采购公告</w:t>
      </w:r>
      <w:bookmarkEnd w:id="0"/>
    </w:p>
    <w:p w14:paraId="7EBB1B50">
      <w:pPr>
        <w:ind w:firstLine="0" w:firstLineChars="0"/>
        <w:rPr>
          <w:rFonts w:ascii="仿宋_GB2312" w:eastAsia="仿宋_GB2312"/>
          <w:sz w:val="28"/>
          <w:szCs w:val="28"/>
        </w:rPr>
      </w:pPr>
      <w:r>
        <w:rPr>
          <w:rFonts w:hint="eastAsia" w:ascii="仿宋_GB2312" w:eastAsia="仿宋_GB2312"/>
          <w:sz w:val="28"/>
          <w:szCs w:val="28"/>
        </w:rPr>
        <w:t>各响应单位：</w:t>
      </w:r>
    </w:p>
    <w:p w14:paraId="6E0A6783">
      <w:pPr>
        <w:rPr>
          <w:rFonts w:ascii="仿宋_GB2312" w:eastAsia="仿宋_GB2312"/>
          <w:sz w:val="28"/>
          <w:szCs w:val="28"/>
        </w:rPr>
      </w:pPr>
      <w:r>
        <w:rPr>
          <w:rFonts w:hint="eastAsia" w:ascii="仿宋_GB2312" w:eastAsia="仿宋_GB2312"/>
          <w:sz w:val="28"/>
          <w:szCs w:val="28"/>
        </w:rPr>
        <w:t>本项目名称为：</w:t>
      </w:r>
      <w:r>
        <w:rPr>
          <w:rFonts w:hint="eastAsia" w:ascii="仿宋_GB2312" w:eastAsia="仿宋_GB2312"/>
          <w:sz w:val="28"/>
          <w:szCs w:val="28"/>
          <w:u w:val="single"/>
        </w:rPr>
        <w:t>深圳书城龙华城2025年10月-2026年9月电梯维保项目</w:t>
      </w:r>
      <w:r>
        <w:rPr>
          <w:rFonts w:hint="eastAsia" w:ascii="仿宋_GB2312" w:eastAsia="仿宋_GB2312"/>
          <w:sz w:val="28"/>
          <w:szCs w:val="28"/>
        </w:rPr>
        <w:t>，采购方为：</w:t>
      </w:r>
      <w:r>
        <w:rPr>
          <w:rFonts w:hint="eastAsia" w:ascii="仿宋_GB2312" w:eastAsia="仿宋_GB2312"/>
          <w:sz w:val="28"/>
          <w:szCs w:val="28"/>
          <w:u w:val="single"/>
        </w:rPr>
        <w:t>深圳书城龙华城实业有限公司</w:t>
      </w:r>
      <w:r>
        <w:rPr>
          <w:rFonts w:hint="eastAsia" w:ascii="仿宋_GB2312" w:eastAsia="仿宋_GB2312"/>
          <w:sz w:val="28"/>
          <w:szCs w:val="28"/>
        </w:rPr>
        <w:t>。项目已具备询价采购条件，现进行公开采购，欢迎符合资格的</w:t>
      </w:r>
      <w:r>
        <w:rPr>
          <w:rFonts w:hint="eastAsia" w:ascii="仿宋_GB2312" w:hAnsi="仿宋" w:eastAsia="仿宋_GB2312"/>
          <w:color w:val="000000" w:themeColor="text1"/>
          <w:kern w:val="0"/>
          <w:sz w:val="28"/>
          <w:szCs w:val="24"/>
          <w14:textFill>
            <w14:solidFill>
              <w14:schemeClr w14:val="tx1"/>
            </w14:solidFill>
          </w14:textFill>
        </w:rPr>
        <w:t>供应商</w:t>
      </w:r>
      <w:r>
        <w:rPr>
          <w:rFonts w:hint="eastAsia" w:ascii="仿宋_GB2312" w:eastAsia="仿宋_GB2312"/>
          <w:sz w:val="28"/>
          <w:szCs w:val="28"/>
        </w:rPr>
        <w:t>参加本次询价采购活动。</w:t>
      </w:r>
    </w:p>
    <w:p w14:paraId="113EEB6C">
      <w:pPr>
        <w:rPr>
          <w:rFonts w:ascii="黑体" w:hAnsi="黑体" w:eastAsia="黑体"/>
          <w:sz w:val="28"/>
          <w:szCs w:val="28"/>
        </w:rPr>
      </w:pPr>
      <w:r>
        <w:rPr>
          <w:rFonts w:hint="eastAsia" w:ascii="黑体" w:hAnsi="黑体" w:eastAsia="黑体"/>
          <w:sz w:val="28"/>
          <w:szCs w:val="28"/>
        </w:rPr>
        <w:t>一、项目内容</w:t>
      </w:r>
    </w:p>
    <w:p w14:paraId="7B1E455C">
      <w:pPr>
        <w:spacing w:line="360" w:lineRule="auto"/>
        <w:jc w:val="left"/>
        <w:rPr>
          <w:rFonts w:ascii="仿宋_GB2312" w:hAnsi="仿宋" w:eastAsia="仿宋_GB2312"/>
          <w:color w:val="000000" w:themeColor="text1"/>
          <w:sz w:val="28"/>
          <w:szCs w:val="24"/>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 xml:space="preserve">（一）采购人：深圳书城龙华城实业有限公司  </w:t>
      </w:r>
      <w:r>
        <w:rPr>
          <w:rFonts w:hint="eastAsia" w:ascii="仿宋_GB2312" w:hAnsi="仿宋" w:eastAsia="仿宋_GB2312"/>
          <w:color w:val="000000" w:themeColor="text1"/>
          <w:sz w:val="28"/>
          <w:szCs w:val="24"/>
          <w14:textFill>
            <w14:solidFill>
              <w14:schemeClr w14:val="tx1"/>
            </w14:solidFill>
          </w14:textFill>
        </w:rPr>
        <w:t>地址:</w:t>
      </w:r>
      <w:r>
        <w:rPr>
          <w:rFonts w:hint="eastAsia" w:ascii="仿宋_GB2312" w:hAnsi="仿宋" w:eastAsia="仿宋_GB2312"/>
          <w:color w:val="000000" w:themeColor="text1"/>
          <w:sz w:val="28"/>
          <w:szCs w:val="24"/>
          <w:u w:val="single"/>
          <w14:textFill>
            <w14:solidFill>
              <w14:schemeClr w14:val="tx1"/>
            </w14:solidFill>
          </w14:textFill>
        </w:rPr>
        <w:t>深圳市龙华区龙华大道4189号深圳书城龙华城</w:t>
      </w:r>
      <w:r>
        <w:rPr>
          <w:rFonts w:hint="eastAsia" w:ascii="仿宋_GB2312" w:hAnsi="仿宋" w:eastAsia="仿宋_GB2312"/>
          <w:color w:val="000000" w:themeColor="text1"/>
          <w:sz w:val="28"/>
          <w:szCs w:val="24"/>
          <w:u w:val="single"/>
          <w:lang w:val="en-US" w:eastAsia="zh-CN"/>
          <w14:textFill>
            <w14:solidFill>
              <w14:schemeClr w14:val="tx1"/>
            </w14:solidFill>
          </w14:textFill>
        </w:rPr>
        <w:t>7</w:t>
      </w:r>
      <w:r>
        <w:rPr>
          <w:rFonts w:hint="eastAsia" w:ascii="仿宋_GB2312" w:hAnsi="仿宋" w:eastAsia="仿宋_GB2312"/>
          <w:color w:val="000000" w:themeColor="text1"/>
          <w:sz w:val="28"/>
          <w:szCs w:val="24"/>
          <w:u w:val="single"/>
          <w14:textFill>
            <w14:solidFill>
              <w14:schemeClr w14:val="tx1"/>
            </w14:solidFill>
          </w14:textFill>
        </w:rPr>
        <w:t>楼</w:t>
      </w:r>
      <w:r>
        <w:rPr>
          <w:rFonts w:hint="eastAsia" w:ascii="仿宋_GB2312" w:hAnsi="仿宋" w:eastAsia="仿宋_GB2312"/>
          <w:color w:val="000000" w:themeColor="text1"/>
          <w:sz w:val="28"/>
          <w:szCs w:val="24"/>
          <w14:textFill>
            <w14:solidFill>
              <w14:schemeClr w14:val="tx1"/>
            </w14:solidFill>
          </w14:textFill>
        </w:rPr>
        <w:t>。</w:t>
      </w:r>
    </w:p>
    <w:p w14:paraId="163D17EF">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（二）项目名称：</w:t>
      </w:r>
      <w:r>
        <w:rPr>
          <w:rFonts w:hint="eastAsia" w:ascii="仿宋_GB2312" w:eastAsia="仿宋_GB2312"/>
          <w:sz w:val="28"/>
          <w:szCs w:val="28"/>
          <w:u w:val="single"/>
        </w:rPr>
        <w:t>深圳书城龙华城2025年10月-2026年9月电梯维保项目</w:t>
      </w:r>
    </w:p>
    <w:p w14:paraId="280C92E4">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（三）项目采购范围：</w:t>
      </w:r>
      <w:r>
        <w:rPr>
          <w:rFonts w:hint="eastAsia" w:ascii="仿宋_GB2312" w:hAnsi="仿宋" w:eastAsia="仿宋_GB2312"/>
          <w:color w:val="000000" w:themeColor="text1"/>
          <w:sz w:val="28"/>
          <w:szCs w:val="28"/>
          <w:u w:val="single"/>
          <w:lang w:val="en-US" w:eastAsia="zh-CN"/>
          <w14:textFill>
            <w14:solidFill>
              <w14:schemeClr w14:val="tx1"/>
            </w14:solidFill>
          </w14:textFill>
        </w:rPr>
        <w:t>维保应覆盖《电梯使用管理与维保规则》（TSG T5002-2017）规定的半月、季度、半年、年度保养项目，及电梯制造单位技术文件所要求的其它保养项目，16台扶手梯，7台直梯，服务期1年</w:t>
      </w:r>
      <w:r>
        <w:rPr>
          <w:rFonts w:hint="eastAsia" w:ascii="仿宋_GB2312" w:hAnsi="仿宋" w:eastAsia="仿宋_GB2312"/>
          <w:color w:val="000000" w:themeColor="text1"/>
          <w:sz w:val="28"/>
          <w:szCs w:val="28"/>
          <w14:textFill>
            <w14:solidFill>
              <w14:schemeClr w14:val="tx1"/>
            </w14:solidFill>
          </w14:textFill>
        </w:rPr>
        <w:t>。</w:t>
      </w:r>
    </w:p>
    <w:p w14:paraId="50D32CCB">
      <w:pPr>
        <w:rPr>
          <w:rFonts w:ascii="仿宋_GB2312" w:hAnsi="仿宋" w:eastAsia="仿宋_GB2312"/>
          <w:color w:val="000000" w:themeColor="text1"/>
          <w:sz w:val="28"/>
          <w:szCs w:val="28"/>
          <w:u w:val="single"/>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（四）最高限价人民币：</w:t>
      </w:r>
      <w:r>
        <w:rPr>
          <w:rFonts w:hint="eastAsia" w:ascii="仿宋_GB2312" w:hAnsi="仿宋" w:eastAsia="仿宋_GB2312"/>
          <w:color w:val="000000" w:themeColor="text1"/>
          <w:sz w:val="28"/>
          <w:szCs w:val="28"/>
          <w:u w:val="single"/>
          <w:lang w:val="en-US" w:eastAsia="zh-CN"/>
          <w14:textFill>
            <w14:solidFill>
              <w14:schemeClr w14:val="tx1"/>
            </w14:solidFill>
          </w14:textFill>
        </w:rPr>
        <w:t>120000</w:t>
      </w:r>
      <w:r>
        <w:rPr>
          <w:rFonts w:hint="eastAsia" w:ascii="仿宋_GB2312" w:hAnsi="仿宋" w:eastAsia="仿宋_GB2312"/>
          <w:b/>
          <w:bCs/>
          <w:color w:val="000000" w:themeColor="text1"/>
          <w:sz w:val="28"/>
          <w:szCs w:val="28"/>
          <w:u w:val="single"/>
          <w14:textFill>
            <w14:solidFill>
              <w14:schemeClr w14:val="tx1"/>
            </w14:solidFill>
          </w14:textFill>
        </w:rPr>
        <w:t>元（含税，含本数）</w:t>
      </w:r>
      <w:r>
        <w:rPr>
          <w:rFonts w:hint="eastAsia" w:ascii="仿宋_GB2312" w:hAnsi="仿宋" w:eastAsia="仿宋_GB2312"/>
          <w:b/>
          <w:color w:val="000000" w:themeColor="text1"/>
          <w:sz w:val="28"/>
          <w:szCs w:val="28"/>
          <w:u w:val="single"/>
          <w14:textFill>
            <w14:solidFill>
              <w14:schemeClr w14:val="tx1"/>
            </w14:solidFill>
          </w14:textFill>
        </w:rPr>
        <w:t>。</w:t>
      </w:r>
      <w:r>
        <w:rPr>
          <w:rFonts w:hint="eastAsia" w:ascii="仿宋_GB2312" w:hAnsi="仿宋" w:eastAsia="仿宋_GB2312"/>
          <w:color w:val="000000" w:themeColor="text1"/>
          <w:sz w:val="28"/>
          <w:szCs w:val="28"/>
          <w:u w:val="single"/>
          <w14:textFill>
            <w14:solidFill>
              <w14:schemeClr w14:val="tx1"/>
            </w14:solidFill>
          </w14:textFill>
        </w:rPr>
        <w:t>响应单位的总报价不得超过最高限价，否则其报价无效。</w:t>
      </w:r>
    </w:p>
    <w:p w14:paraId="1511FAAD">
      <w:pPr>
        <w:rPr>
          <w:rFonts w:ascii="黑体" w:hAnsi="黑体" w:eastAsia="黑体"/>
          <w:sz w:val="28"/>
          <w:szCs w:val="28"/>
        </w:rPr>
      </w:pPr>
      <w:r>
        <w:rPr>
          <w:rFonts w:hint="eastAsia" w:ascii="黑体" w:hAnsi="黑体" w:eastAsia="黑体"/>
          <w:sz w:val="28"/>
          <w:szCs w:val="28"/>
        </w:rPr>
        <w:t>二、合格响应单位的资格审查标准</w:t>
      </w:r>
    </w:p>
    <w:p w14:paraId="3696D60A">
      <w:pPr>
        <w:rPr>
          <w:rFonts w:ascii="仿宋_GB2312" w:hAnsi="仿宋" w:eastAsia="仿宋_GB2312"/>
          <w:sz w:val="28"/>
          <w:szCs w:val="28"/>
        </w:rPr>
      </w:pPr>
      <w:r>
        <w:rPr>
          <w:rFonts w:hint="eastAsia" w:ascii="仿宋_GB2312" w:hAnsi="仿宋" w:eastAsia="仿宋_GB2312"/>
          <w:sz w:val="28"/>
          <w:szCs w:val="28"/>
        </w:rPr>
        <w:t>（一）</w:t>
      </w:r>
      <w:r>
        <w:rPr>
          <w:rFonts w:hint="eastAsia" w:ascii="仿宋_GB2312" w:eastAsia="仿宋_GB2312"/>
          <w:sz w:val="28"/>
          <w:szCs w:val="28"/>
        </w:rPr>
        <w:t>投标人需在中华人民共和国境内合法注册持有合法有效的营业执照</w:t>
      </w:r>
      <w:r>
        <w:rPr>
          <w:rFonts w:hint="eastAsia" w:ascii="仿宋_GB2312" w:hAnsi="仿宋" w:eastAsia="仿宋_GB2312"/>
          <w:sz w:val="28"/>
          <w:szCs w:val="28"/>
        </w:rPr>
        <w:t>。</w:t>
      </w:r>
    </w:p>
    <w:p w14:paraId="64440889">
      <w:pPr>
        <w:rPr>
          <w:rFonts w:ascii="仿宋_GB2312" w:hAnsi="仿宋" w:eastAsia="仿宋_GB2312"/>
          <w:sz w:val="28"/>
          <w:szCs w:val="28"/>
        </w:rPr>
      </w:pPr>
      <w:r>
        <w:rPr>
          <w:rFonts w:hint="eastAsia" w:ascii="仿宋_GB2312" w:hAnsi="仿宋" w:eastAsia="仿宋_GB2312"/>
          <w:sz w:val="28"/>
          <w:szCs w:val="28"/>
        </w:rPr>
        <w:t>（二）</w:t>
      </w:r>
      <w:r>
        <w:rPr>
          <w:rFonts w:hint="eastAsia" w:ascii="仿宋_GB2312" w:eastAsia="仿宋_GB2312"/>
          <w:sz w:val="28"/>
          <w:szCs w:val="28"/>
        </w:rPr>
        <w:t>近三年无司法行政处罚记录。</w:t>
      </w:r>
    </w:p>
    <w:p w14:paraId="77B6C943">
      <w:pPr>
        <w:rPr>
          <w:rFonts w:ascii="仿宋_GB2312" w:eastAsia="仿宋_GB2312"/>
          <w:sz w:val="28"/>
          <w:szCs w:val="28"/>
        </w:rPr>
      </w:pPr>
      <w:r>
        <w:rPr>
          <w:rFonts w:hint="eastAsia" w:ascii="仿宋_GB2312" w:eastAsia="仿宋_GB2312"/>
          <w:sz w:val="28"/>
          <w:szCs w:val="28"/>
        </w:rPr>
        <w:t>（三）</w:t>
      </w:r>
      <w:r>
        <w:rPr>
          <w:rFonts w:hint="eastAsia" w:ascii="仿宋_GB2312" w:eastAsia="仿宋_GB2312"/>
          <w:sz w:val="28"/>
          <w:szCs w:val="28"/>
          <w:lang w:val="en-US" w:eastAsia="zh-CN"/>
        </w:rPr>
        <w:t>具有</w:t>
      </w:r>
      <w:r>
        <w:rPr>
          <w:rFonts w:ascii="仿宋_GB2312" w:eastAsia="仿宋_GB2312"/>
          <w:sz w:val="28"/>
          <w:szCs w:val="28"/>
        </w:rPr>
        <w:t>B级以上</w:t>
      </w:r>
      <w:r>
        <w:rPr>
          <w:rFonts w:hint="eastAsia" w:ascii="仿宋_GB2312" w:eastAsia="仿宋_GB2312"/>
          <w:sz w:val="28"/>
          <w:szCs w:val="28"/>
        </w:rPr>
        <w:t>特种设备生产许可证</w:t>
      </w:r>
      <w:r>
        <w:rPr>
          <w:rFonts w:hint="eastAsia" w:ascii="仿宋_GB2312" w:eastAsia="仿宋_GB2312"/>
          <w:sz w:val="28"/>
          <w:szCs w:val="28"/>
          <w:lang w:eastAsia="zh-CN"/>
        </w:rPr>
        <w:t>，响应单位需提</w:t>
      </w:r>
      <w:r>
        <w:rPr>
          <w:rFonts w:hint="eastAsia" w:ascii="仿宋_GB2312" w:eastAsia="仿宋_GB2312"/>
          <w:sz w:val="28"/>
          <w:szCs w:val="28"/>
          <w:lang w:val="en-US" w:eastAsia="zh-CN"/>
        </w:rPr>
        <w:t>供近</w:t>
      </w:r>
      <w:r>
        <w:rPr>
          <w:rFonts w:hint="eastAsia" w:ascii="仿宋_GB2312" w:eastAsia="仿宋_GB2312"/>
          <w:sz w:val="28"/>
          <w:szCs w:val="28"/>
          <w:lang w:eastAsia="zh-CN"/>
        </w:rPr>
        <w:t>三年内至少3份维保合同。</w:t>
      </w:r>
    </w:p>
    <w:p w14:paraId="6643787F">
      <w:pPr>
        <w:rPr>
          <w:rFonts w:hint="eastAsia" w:ascii="仿宋_GB2312" w:eastAsia="仿宋_GB2312"/>
          <w:sz w:val="28"/>
          <w:szCs w:val="28"/>
        </w:rPr>
      </w:pPr>
      <w:r>
        <w:rPr>
          <w:rFonts w:hint="eastAsia" w:ascii="仿宋_GB2312" w:eastAsia="仿宋_GB2312"/>
          <w:sz w:val="28"/>
          <w:szCs w:val="28"/>
        </w:rPr>
        <w:t>（四）没有被列入“信用中国”网站(www.creditchina.gov.cn）的“失信被执行人”、“重大税收违法失信主体”、“政府采购严重违法失信行为记录名单”的情况。</w:t>
      </w:r>
    </w:p>
    <w:p w14:paraId="18E8ED1E">
      <w:pPr>
        <w:rPr>
          <w:rFonts w:hint="eastAsia" w:ascii="仿宋_GB2312" w:eastAsia="仿宋_GB2312"/>
          <w:sz w:val="28"/>
          <w:szCs w:val="28"/>
          <w:lang w:val="en-US" w:eastAsia="zh-CN"/>
        </w:rPr>
      </w:pPr>
      <w:r>
        <w:rPr>
          <w:rFonts w:hint="eastAsia" w:ascii="仿宋_GB2312" w:eastAsia="仿宋_GB2312"/>
          <w:sz w:val="28"/>
          <w:szCs w:val="28"/>
          <w:lang w:val="en-US" w:eastAsia="zh-CN"/>
        </w:rPr>
        <w:t>（五）开具维护服务类型发票。</w:t>
      </w:r>
    </w:p>
    <w:p w14:paraId="025FEB36">
      <w:pPr>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六</w:t>
      </w:r>
      <w:r>
        <w:rPr>
          <w:rFonts w:hint="eastAsia" w:ascii="仿宋_GB2312" w:eastAsia="仿宋_GB2312"/>
          <w:sz w:val="28"/>
          <w:szCs w:val="28"/>
        </w:rPr>
        <w:t>）本项目不接受联合体参加，也不允许分包或转包。</w:t>
      </w:r>
    </w:p>
    <w:p w14:paraId="7AA35AB5">
      <w:pPr>
        <w:rPr>
          <w:rFonts w:ascii="仿宋_GB2312" w:eastAsia="仿宋_GB2312"/>
          <w:sz w:val="28"/>
          <w:szCs w:val="28"/>
        </w:rPr>
      </w:pPr>
      <w:r>
        <w:rPr>
          <w:rFonts w:hint="eastAsia" w:ascii="仿宋_GB2312" w:eastAsia="仿宋_GB2312"/>
          <w:sz w:val="28"/>
          <w:szCs w:val="28"/>
        </w:rPr>
        <w:t>注：单位法定代表人/负责人为同一人或者存在直接控股、管理关系的不同响应单位，不得参加同一合同项下的采购活动。</w:t>
      </w:r>
    </w:p>
    <w:p w14:paraId="4B6AF82A">
      <w:pPr>
        <w:rPr>
          <w:rFonts w:ascii="黑体" w:hAnsi="黑体" w:eastAsia="黑体"/>
          <w:sz w:val="28"/>
          <w:szCs w:val="28"/>
        </w:rPr>
      </w:pPr>
      <w:r>
        <w:rPr>
          <w:rFonts w:hint="eastAsia" w:ascii="黑体" w:hAnsi="黑体" w:eastAsia="黑体"/>
          <w:sz w:val="28"/>
          <w:szCs w:val="28"/>
        </w:rPr>
        <w:t>三、公告平台与公告期限</w:t>
      </w:r>
    </w:p>
    <w:p w14:paraId="5AD5A4A6">
      <w:pPr>
        <w:rPr>
          <w:rFonts w:ascii="仿宋_GB2312" w:eastAsia="仿宋_GB2312"/>
          <w:sz w:val="28"/>
          <w:szCs w:val="28"/>
        </w:rPr>
      </w:pPr>
      <w:r>
        <w:rPr>
          <w:rFonts w:hint="eastAsia" w:ascii="仿宋_GB2312" w:eastAsia="仿宋_GB2312"/>
          <w:sz w:val="28"/>
          <w:szCs w:val="28"/>
        </w:rPr>
        <w:t>（一）公告平台：深圳出版集团有限公司官网、深圳阳光采购平台。</w:t>
      </w:r>
    </w:p>
    <w:p w14:paraId="3CD3AA27">
      <w:pPr>
        <w:rPr>
          <w:rFonts w:ascii="仿宋_GB2312" w:eastAsia="仿宋_GB2312"/>
          <w:sz w:val="28"/>
          <w:szCs w:val="28"/>
        </w:rPr>
      </w:pPr>
      <w:r>
        <w:rPr>
          <w:rFonts w:hint="eastAsia" w:ascii="仿宋_GB2312" w:eastAsia="仿宋_GB2312"/>
          <w:sz w:val="28"/>
          <w:szCs w:val="28"/>
        </w:rPr>
        <w:t>（二）公告期限：</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28</w:t>
      </w:r>
      <w:r>
        <w:rPr>
          <w:rFonts w:hint="eastAsia" w:ascii="仿宋_GB2312" w:eastAsia="仿宋_GB2312"/>
          <w:sz w:val="28"/>
          <w:szCs w:val="28"/>
        </w:rPr>
        <w:t>日至</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9</w:t>
      </w:r>
      <w:r>
        <w:rPr>
          <w:rFonts w:hint="eastAsia" w:ascii="仿宋_GB2312" w:eastAsia="仿宋_GB2312"/>
          <w:sz w:val="28"/>
          <w:szCs w:val="28"/>
        </w:rPr>
        <w:t>月</w:t>
      </w:r>
      <w:r>
        <w:rPr>
          <w:rFonts w:hint="eastAsia" w:ascii="仿宋_GB2312" w:eastAsia="仿宋_GB2312"/>
          <w:sz w:val="28"/>
          <w:szCs w:val="28"/>
          <w:u w:val="single"/>
          <w:lang w:val="en-US" w:eastAsia="zh-CN"/>
        </w:rPr>
        <w:t>2</w:t>
      </w:r>
      <w:r>
        <w:rPr>
          <w:rFonts w:hint="eastAsia" w:ascii="仿宋_GB2312" w:eastAsia="仿宋_GB2312"/>
          <w:sz w:val="28"/>
          <w:szCs w:val="28"/>
        </w:rPr>
        <w:t>日</w:t>
      </w:r>
    </w:p>
    <w:p w14:paraId="704AB249">
      <w:pPr>
        <w:rPr>
          <w:rFonts w:ascii="黑体" w:hAnsi="黑体" w:eastAsia="黑体"/>
          <w:sz w:val="28"/>
          <w:szCs w:val="28"/>
        </w:rPr>
      </w:pPr>
      <w:r>
        <w:rPr>
          <w:rFonts w:hint="eastAsia" w:ascii="黑体" w:hAnsi="黑体" w:eastAsia="黑体"/>
          <w:sz w:val="28"/>
          <w:szCs w:val="28"/>
        </w:rPr>
        <w:t>四、获取采购文件时间、方式</w:t>
      </w:r>
    </w:p>
    <w:p w14:paraId="25C3F07B">
      <w:pPr>
        <w:rPr>
          <w:rFonts w:ascii="仿宋_GB2312" w:eastAsia="仿宋_GB2312"/>
          <w:sz w:val="28"/>
          <w:szCs w:val="28"/>
        </w:rPr>
      </w:pPr>
      <w:r>
        <w:rPr>
          <w:rFonts w:hint="eastAsia" w:ascii="仿宋_GB2312" w:eastAsia="仿宋_GB2312"/>
          <w:sz w:val="28"/>
          <w:szCs w:val="28"/>
        </w:rPr>
        <w:t>（一）获取采购文件的时间：</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28</w:t>
      </w:r>
      <w:r>
        <w:rPr>
          <w:rFonts w:hint="eastAsia" w:ascii="仿宋_GB2312" w:eastAsia="仿宋_GB2312"/>
          <w:sz w:val="28"/>
          <w:szCs w:val="28"/>
        </w:rPr>
        <w:t>日至</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9</w:t>
      </w:r>
      <w:r>
        <w:rPr>
          <w:rFonts w:hint="eastAsia" w:ascii="仿宋_GB2312" w:eastAsia="仿宋_GB2312"/>
          <w:sz w:val="28"/>
          <w:szCs w:val="28"/>
        </w:rPr>
        <w:t>月</w:t>
      </w:r>
      <w:r>
        <w:rPr>
          <w:rFonts w:hint="eastAsia" w:ascii="仿宋_GB2312" w:eastAsia="仿宋_GB2312"/>
          <w:sz w:val="28"/>
          <w:szCs w:val="28"/>
          <w:u w:val="single"/>
          <w:lang w:val="en-US" w:eastAsia="zh-CN"/>
        </w:rPr>
        <w:t>2</w:t>
      </w:r>
      <w:r>
        <w:rPr>
          <w:rFonts w:hint="eastAsia" w:ascii="仿宋_GB2312" w:eastAsia="仿宋_GB2312"/>
          <w:sz w:val="28"/>
          <w:szCs w:val="28"/>
        </w:rPr>
        <w:t>日。</w:t>
      </w:r>
    </w:p>
    <w:p w14:paraId="635D8494">
      <w:pPr>
        <w:rPr>
          <w:rFonts w:ascii="仿宋_GB2312" w:eastAsia="仿宋_GB2312"/>
          <w:sz w:val="28"/>
          <w:szCs w:val="28"/>
        </w:rPr>
      </w:pPr>
      <w:r>
        <w:rPr>
          <w:rFonts w:hint="eastAsia" w:ascii="仿宋_GB2312" w:eastAsia="仿宋_GB2312"/>
          <w:sz w:val="28"/>
          <w:szCs w:val="28"/>
        </w:rPr>
        <w:t>（二）获取采购文件的方式</w:t>
      </w:r>
      <w:r>
        <w:rPr>
          <w:rFonts w:hint="eastAsia" w:ascii="仿宋_GB2312" w:hAnsi="仿宋" w:eastAsia="仿宋_GB2312"/>
          <w:color w:val="000000" w:themeColor="text1"/>
          <w:sz w:val="28"/>
          <w:szCs w:val="28"/>
          <w14:textFill>
            <w14:solidFill>
              <w14:schemeClr w14:val="tx1"/>
            </w14:solidFill>
          </w14:textFill>
        </w:rPr>
        <w:t>：在深圳出版集团有限公司官网、深圳阳光采购平台下载。</w:t>
      </w:r>
    </w:p>
    <w:p w14:paraId="367E1847">
      <w:pPr>
        <w:rPr>
          <w:rFonts w:ascii="仿宋_GB2312" w:eastAsia="仿宋_GB2312"/>
          <w:sz w:val="28"/>
          <w:szCs w:val="28"/>
        </w:rPr>
      </w:pPr>
      <w:r>
        <w:rPr>
          <w:rFonts w:hint="eastAsia" w:ascii="仿宋_GB2312" w:eastAsia="仿宋_GB2312"/>
          <w:sz w:val="28"/>
          <w:szCs w:val="28"/>
        </w:rPr>
        <w:t>（三）采购文件免费获取（电子采购文件）。</w:t>
      </w:r>
    </w:p>
    <w:p w14:paraId="0195BCCC">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（四）质疑截止时间：</w:t>
      </w:r>
      <w:r>
        <w:rPr>
          <w:rFonts w:hint="eastAsia" w:ascii="仿宋_GB2312" w:hAnsi="仿宋" w:eastAsia="仿宋_GB2312"/>
          <w:color w:val="000000" w:themeColor="text1"/>
          <w:sz w:val="28"/>
          <w:szCs w:val="28"/>
          <w:lang w:val="en-US" w:eastAsia="zh-CN"/>
          <w14:textFill>
            <w14:solidFill>
              <w14:schemeClr w14:val="tx1"/>
            </w14:solidFill>
          </w14:textFill>
        </w:rPr>
        <w:t>2025</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9</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val="en-US" w:eastAsia="zh-CN"/>
          <w14:textFill>
            <w14:solidFill>
              <w14:schemeClr w14:val="tx1"/>
            </w14:solidFill>
          </w14:textFill>
        </w:rPr>
        <w:t>17</w:t>
      </w:r>
      <w:r>
        <w:rPr>
          <w:rFonts w:hint="eastAsia"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00</w:t>
      </w:r>
      <w:r>
        <w:rPr>
          <w:rFonts w:hint="eastAsia" w:ascii="仿宋_GB2312" w:hAnsi="仿宋" w:eastAsia="仿宋_GB2312"/>
          <w:color w:val="000000" w:themeColor="text1"/>
          <w:sz w:val="28"/>
          <w:szCs w:val="28"/>
          <w14:textFill>
            <w14:solidFill>
              <w14:schemeClr w14:val="tx1"/>
            </w14:solidFill>
          </w14:textFill>
        </w:rPr>
        <w:t>前。</w:t>
      </w:r>
    </w:p>
    <w:p w14:paraId="02BB5F94">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澄清、修改、答疑截止时间:</w:t>
      </w:r>
      <w:r>
        <w:rPr>
          <w:rFonts w:hint="eastAsia" w:ascii="仿宋_GB2312" w:hAnsi="仿宋" w:eastAsia="仿宋_GB2312"/>
          <w:color w:val="000000" w:themeColor="text1"/>
          <w:sz w:val="28"/>
          <w:szCs w:val="28"/>
          <w:lang w:val="en-US" w:eastAsia="zh-CN"/>
          <w14:textFill>
            <w14:solidFill>
              <w14:schemeClr w14:val="tx1"/>
            </w14:solidFill>
          </w14:textFill>
        </w:rPr>
        <w:t>2025</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9</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val="en-US" w:eastAsia="zh-CN"/>
          <w14:textFill>
            <w14:solidFill>
              <w14:schemeClr w14:val="tx1"/>
            </w14:solidFill>
          </w14:textFill>
        </w:rPr>
        <w:t>11</w:t>
      </w:r>
      <w:r>
        <w:rPr>
          <w:rFonts w:hint="eastAsia"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00</w:t>
      </w:r>
      <w:r>
        <w:rPr>
          <w:rFonts w:hint="eastAsia" w:ascii="仿宋_GB2312" w:hAnsi="仿宋" w:eastAsia="仿宋_GB2312"/>
          <w:color w:val="000000" w:themeColor="text1"/>
          <w:sz w:val="28"/>
          <w:szCs w:val="28"/>
          <w14:textFill>
            <w14:solidFill>
              <w14:schemeClr w14:val="tx1"/>
            </w14:solidFill>
          </w14:textFill>
        </w:rPr>
        <w:t>前。</w:t>
      </w:r>
    </w:p>
    <w:p w14:paraId="498ABF7C">
      <w:pPr>
        <w:rPr>
          <w:rFonts w:ascii="黑体" w:hAnsi="黑体" w:eastAsia="黑体"/>
          <w:sz w:val="28"/>
          <w:szCs w:val="28"/>
        </w:rPr>
      </w:pPr>
      <w:r>
        <w:rPr>
          <w:rFonts w:hint="eastAsia" w:ascii="黑体" w:hAnsi="黑体" w:eastAsia="黑体"/>
          <w:sz w:val="28"/>
          <w:szCs w:val="28"/>
        </w:rPr>
        <w:t>五、响应文件提交及开启响应文件时间及地点</w:t>
      </w:r>
    </w:p>
    <w:p w14:paraId="5A5DE8B2">
      <w:pPr>
        <w:rPr>
          <w:rFonts w:ascii="仿宋_GB2312" w:eastAsia="仿宋_GB2312"/>
          <w:sz w:val="28"/>
          <w:szCs w:val="28"/>
        </w:rPr>
      </w:pPr>
      <w:r>
        <w:rPr>
          <w:rFonts w:hint="eastAsia" w:ascii="仿宋_GB2312" w:eastAsia="仿宋_GB2312"/>
          <w:sz w:val="28"/>
          <w:szCs w:val="28"/>
        </w:rPr>
        <w:t>（一）提交响应文件截止时间：</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日</w:t>
      </w:r>
      <w:r>
        <w:rPr>
          <w:rFonts w:hint="eastAsia" w:ascii="仿宋_GB2312" w:eastAsia="仿宋_GB2312"/>
          <w:sz w:val="28"/>
          <w:szCs w:val="28"/>
          <w:lang w:val="en-US" w:eastAsia="zh-CN"/>
        </w:rPr>
        <w:t>16</w:t>
      </w:r>
      <w:r>
        <w:rPr>
          <w:rFonts w:hint="eastAsia" w:ascii="仿宋_GB2312" w:eastAsia="仿宋_GB2312"/>
          <w:sz w:val="28"/>
          <w:szCs w:val="28"/>
        </w:rPr>
        <w:t>:</w:t>
      </w:r>
      <w:r>
        <w:rPr>
          <w:rFonts w:hint="eastAsia" w:ascii="仿宋_GB2312" w:eastAsia="仿宋_GB2312"/>
          <w:sz w:val="28"/>
          <w:szCs w:val="28"/>
          <w:lang w:val="en-US" w:eastAsia="zh-CN"/>
        </w:rPr>
        <w:t>00</w:t>
      </w:r>
      <w:r>
        <w:rPr>
          <w:rFonts w:hint="eastAsia" w:ascii="仿宋_GB2312" w:eastAsia="仿宋_GB2312"/>
          <w:sz w:val="28"/>
          <w:szCs w:val="28"/>
        </w:rPr>
        <w:t>前。</w:t>
      </w:r>
    </w:p>
    <w:p w14:paraId="161CEAEF">
      <w:pPr>
        <w:rPr>
          <w:rFonts w:ascii="仿宋_GB2312" w:eastAsia="仿宋_GB2312"/>
          <w:sz w:val="28"/>
          <w:szCs w:val="28"/>
        </w:rPr>
      </w:pPr>
      <w:r>
        <w:rPr>
          <w:rFonts w:hint="eastAsia" w:ascii="仿宋_GB2312" w:eastAsia="仿宋_GB2312"/>
          <w:sz w:val="28"/>
          <w:szCs w:val="28"/>
        </w:rPr>
        <w:t>（二）提交响应文件地点：深圳市龙华区龙华大道4189号深圳书城龙华城</w:t>
      </w:r>
      <w:r>
        <w:rPr>
          <w:rFonts w:hint="eastAsia" w:ascii="仿宋_GB2312" w:eastAsia="仿宋_GB2312"/>
          <w:sz w:val="28"/>
          <w:szCs w:val="28"/>
          <w:lang w:val="en-US" w:eastAsia="zh-CN"/>
        </w:rPr>
        <w:t>7楼</w:t>
      </w:r>
      <w:r>
        <w:rPr>
          <w:rFonts w:hint="eastAsia" w:ascii="仿宋_GB2312" w:eastAsia="仿宋_GB2312"/>
          <w:sz w:val="28"/>
          <w:szCs w:val="28"/>
        </w:rPr>
        <w:t>。</w:t>
      </w:r>
    </w:p>
    <w:p w14:paraId="5712ED93">
      <w:pPr>
        <w:rPr>
          <w:rFonts w:ascii="仿宋_GB2312" w:eastAsia="仿宋_GB2312"/>
          <w:sz w:val="28"/>
          <w:szCs w:val="28"/>
        </w:rPr>
      </w:pPr>
      <w:r>
        <w:rPr>
          <w:rFonts w:hint="eastAsia" w:ascii="仿宋_GB2312" w:eastAsia="仿宋_GB2312"/>
          <w:sz w:val="28"/>
          <w:szCs w:val="28"/>
        </w:rPr>
        <w:t>（三）开启响应文件时间：</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w:t>
      </w:r>
      <w:r>
        <w:rPr>
          <w:rFonts w:hint="eastAsia" w:ascii="仿宋_GB2312" w:eastAsia="仿宋_GB2312"/>
          <w:sz w:val="28"/>
          <w:szCs w:val="28"/>
          <w:lang w:val="en-US" w:eastAsia="zh-CN"/>
        </w:rPr>
        <w:t>15</w:t>
      </w:r>
      <w:r>
        <w:rPr>
          <w:rFonts w:hint="eastAsia" w:ascii="仿宋_GB2312" w:eastAsia="仿宋_GB2312"/>
          <w:sz w:val="28"/>
          <w:szCs w:val="28"/>
        </w:rPr>
        <w:t>:</w:t>
      </w:r>
      <w:r>
        <w:rPr>
          <w:rFonts w:hint="eastAsia" w:ascii="仿宋_GB2312" w:eastAsia="仿宋_GB2312"/>
          <w:sz w:val="28"/>
          <w:szCs w:val="28"/>
          <w:lang w:val="en-US" w:eastAsia="zh-CN"/>
        </w:rPr>
        <w:t>30</w:t>
      </w:r>
      <w:r>
        <w:rPr>
          <w:rFonts w:hint="eastAsia" w:ascii="仿宋_GB2312" w:eastAsia="仿宋_GB2312"/>
          <w:sz w:val="28"/>
          <w:szCs w:val="28"/>
        </w:rPr>
        <w:t>（如有变更另行通知）。</w:t>
      </w:r>
    </w:p>
    <w:p w14:paraId="449008D3">
      <w:pPr>
        <w:rPr>
          <w:rFonts w:hint="eastAsia" w:ascii="仿宋_GB2312" w:eastAsia="仿宋_GB2312"/>
          <w:sz w:val="28"/>
          <w:szCs w:val="28"/>
        </w:rPr>
      </w:pPr>
      <w:r>
        <w:rPr>
          <w:rFonts w:hint="eastAsia" w:ascii="仿宋_GB2312" w:eastAsia="仿宋_GB2312"/>
          <w:sz w:val="28"/>
          <w:szCs w:val="28"/>
        </w:rPr>
        <w:t>（四）开启响应文件地点：深圳市龙华区龙华大道4189号深圳书城龙华城</w:t>
      </w:r>
      <w:r>
        <w:rPr>
          <w:rFonts w:hint="eastAsia" w:ascii="仿宋_GB2312" w:eastAsia="仿宋_GB2312"/>
          <w:sz w:val="28"/>
          <w:szCs w:val="28"/>
          <w:lang w:val="en-US" w:eastAsia="zh-CN"/>
        </w:rPr>
        <w:t>5楼</w:t>
      </w:r>
      <w:r>
        <w:rPr>
          <w:rFonts w:hint="eastAsia" w:ascii="仿宋_GB2312" w:eastAsia="仿宋_GB2312"/>
          <w:sz w:val="28"/>
          <w:szCs w:val="28"/>
        </w:rPr>
        <w:t>办公室（如有变更另行通知）。</w:t>
      </w:r>
    </w:p>
    <w:p w14:paraId="3ECE2422">
      <w:pPr>
        <w:rPr>
          <w:rFonts w:hint="eastAsia" w:ascii="仿宋_GB2312" w:eastAsia="仿宋_GB2312"/>
          <w:sz w:val="28"/>
          <w:szCs w:val="28"/>
        </w:rPr>
      </w:pPr>
      <w:r>
        <w:rPr>
          <w:rFonts w:hint="eastAsia" w:ascii="仿宋_GB2312" w:hAnsi="仿宋_GB2312" w:eastAsia="仿宋_GB2312" w:cs="仿宋_GB2312"/>
          <w:sz w:val="32"/>
        </w:rPr>
        <w:t>逾期送达或者未按照采购文件要求密封的响应文件，</w:t>
      </w:r>
      <w:r>
        <w:rPr>
          <w:rFonts w:hint="eastAsia" w:ascii="仿宋_GB2312" w:hAnsi="仿宋_GB2312" w:eastAsia="仿宋_GB2312" w:cs="仿宋_GB2312"/>
          <w:sz w:val="32"/>
          <w:lang w:val="en-US" w:eastAsia="zh-CN"/>
        </w:rPr>
        <w:t>采购人有权</w:t>
      </w:r>
      <w:r>
        <w:rPr>
          <w:rFonts w:hint="eastAsia" w:ascii="仿宋_GB2312" w:hAnsi="仿宋_GB2312" w:eastAsia="仿宋_GB2312" w:cs="仿宋_GB2312"/>
          <w:sz w:val="32"/>
        </w:rPr>
        <w:t>拒收。</w:t>
      </w:r>
    </w:p>
    <w:p w14:paraId="6C7F904F">
      <w:pPr>
        <w:rPr>
          <w:rFonts w:ascii="黑体" w:hAnsi="黑体" w:eastAsia="黑体"/>
          <w:sz w:val="28"/>
          <w:szCs w:val="28"/>
        </w:rPr>
      </w:pPr>
      <w:r>
        <w:rPr>
          <w:rFonts w:hint="eastAsia" w:ascii="黑体" w:hAnsi="黑体" w:eastAsia="黑体"/>
          <w:sz w:val="28"/>
          <w:szCs w:val="28"/>
        </w:rPr>
        <w:t>六、项目联系人及联系方式</w:t>
      </w:r>
      <w:bookmarkStart w:id="17" w:name="_GoBack"/>
      <w:bookmarkEnd w:id="17"/>
    </w:p>
    <w:p w14:paraId="1742EEC3">
      <w:pPr>
        <w:rPr>
          <w:rFonts w:hint="eastAsia" w:ascii="仿宋_GB2312" w:eastAsia="仿宋_GB2312"/>
          <w:sz w:val="28"/>
          <w:szCs w:val="28"/>
          <w:lang w:eastAsia="zh-CN"/>
        </w:rPr>
      </w:pPr>
      <w:r>
        <w:rPr>
          <w:rFonts w:hint="eastAsia" w:ascii="仿宋_GB2312" w:eastAsia="仿宋_GB2312"/>
          <w:sz w:val="28"/>
          <w:szCs w:val="28"/>
        </w:rPr>
        <w:t>（一）联系人：</w:t>
      </w:r>
      <w:r>
        <w:rPr>
          <w:rFonts w:hint="eastAsia" w:ascii="仿宋_GB2312" w:eastAsia="仿宋_GB2312"/>
          <w:sz w:val="28"/>
          <w:szCs w:val="28"/>
          <w:u w:val="single"/>
          <w:lang w:val="en-US" w:eastAsia="zh-CN"/>
        </w:rPr>
        <w:t>陈家政</w:t>
      </w:r>
    </w:p>
    <w:p w14:paraId="305B69F3">
      <w:pPr>
        <w:rPr>
          <w:rFonts w:hint="default" w:ascii="仿宋_GB2312" w:eastAsia="仿宋_GB2312"/>
          <w:sz w:val="28"/>
          <w:szCs w:val="28"/>
          <w:lang w:val="en-US" w:eastAsia="zh-CN"/>
        </w:rPr>
      </w:pPr>
      <w:r>
        <w:rPr>
          <w:rFonts w:hint="eastAsia" w:ascii="仿宋_GB2312" w:eastAsia="仿宋_GB2312"/>
          <w:sz w:val="28"/>
          <w:szCs w:val="28"/>
        </w:rPr>
        <w:t>（二）联系电话：</w:t>
      </w:r>
      <w:r>
        <w:rPr>
          <w:rFonts w:hint="eastAsia" w:ascii="仿宋_GB2312" w:eastAsia="仿宋_GB2312"/>
          <w:sz w:val="28"/>
          <w:szCs w:val="28"/>
          <w:u w:val="single"/>
          <w:lang w:val="en-US" w:eastAsia="zh-CN"/>
        </w:rPr>
        <w:t>18026954762</w:t>
      </w:r>
    </w:p>
    <w:p w14:paraId="1942C9FF">
      <w:pPr>
        <w:rPr>
          <w:rFonts w:hint="default" w:ascii="仿宋_GB2312" w:eastAsia="仿宋_GB2312"/>
          <w:sz w:val="28"/>
          <w:szCs w:val="28"/>
          <w:u w:val="single"/>
          <w:lang w:val="en-US" w:eastAsia="zh-CN"/>
        </w:rPr>
      </w:pPr>
      <w:r>
        <w:rPr>
          <w:rFonts w:hint="eastAsia" w:ascii="仿宋_GB2312" w:eastAsia="仿宋_GB2312"/>
          <w:sz w:val="28"/>
          <w:szCs w:val="28"/>
        </w:rPr>
        <w:t>（三）邮箱：</w:t>
      </w:r>
      <w:r>
        <w:rPr>
          <w:rFonts w:hint="eastAsia" w:ascii="仿宋_GB2312" w:eastAsia="仿宋_GB2312"/>
          <w:sz w:val="28"/>
          <w:szCs w:val="28"/>
          <w:u w:val="single"/>
          <w:lang w:val="en-US" w:eastAsia="zh-CN"/>
        </w:rPr>
        <w:t>383591603@qq.com</w:t>
      </w:r>
    </w:p>
    <w:p w14:paraId="6CA306A1">
      <w:pPr>
        <w:ind w:firstLine="480"/>
      </w:pPr>
    </w:p>
    <w:p w14:paraId="5C394B54">
      <w:pPr>
        <w:pStyle w:val="2"/>
        <w:ind w:firstLine="720"/>
      </w:pPr>
      <w:bookmarkStart w:id="1" w:name="_Toc161594378"/>
      <w:r>
        <w:rPr>
          <w:rFonts w:hint="eastAsia"/>
        </w:rPr>
        <w:t>第二章</w:t>
      </w:r>
      <w:r>
        <w:t xml:space="preserve"> </w:t>
      </w:r>
      <w:r>
        <w:rPr>
          <w:rFonts w:hint="eastAsia"/>
        </w:rPr>
        <w:t>采购需求</w:t>
      </w:r>
      <w:bookmarkEnd w:id="1"/>
    </w:p>
    <w:p w14:paraId="2F52254B">
      <w:pPr>
        <w:spacing w:line="560" w:lineRule="exact"/>
        <w:ind w:firstLine="560" w:firstLineChars="200"/>
        <w:rPr>
          <w:rFonts w:hint="default" w:ascii="仿宋_GB2312" w:eastAsia="仿宋_GB2312"/>
          <w:sz w:val="28"/>
          <w:szCs w:val="28"/>
          <w:lang w:val="en-US"/>
        </w:rPr>
      </w:pPr>
      <w:r>
        <w:rPr>
          <w:rFonts w:hint="eastAsia" w:ascii="仿宋_GB2312" w:eastAsia="仿宋_GB2312"/>
          <w:sz w:val="28"/>
          <w:szCs w:val="28"/>
          <w:lang w:val="en-US" w:eastAsia="zh-CN"/>
        </w:rPr>
        <w:t>1.</w:t>
      </w:r>
      <w:r>
        <w:rPr>
          <w:rFonts w:hint="eastAsia" w:ascii="仿宋_GB2312" w:eastAsia="仿宋_GB2312"/>
          <w:sz w:val="28"/>
          <w:szCs w:val="28"/>
        </w:rPr>
        <w:t>维保服务的方式为半包，提供电梯维保所需工具和劳务，并免费提供、更换单价在人民币300元（包含300元）以下的电梯零部件（包含电梯空调零部件）</w:t>
      </w:r>
      <w:r>
        <w:rPr>
          <w:rFonts w:hint="eastAsia" w:ascii="仿宋_GB2312" w:eastAsia="仿宋_GB2312"/>
          <w:sz w:val="28"/>
          <w:szCs w:val="28"/>
          <w:lang w:eastAsia="zh-CN"/>
        </w:rPr>
        <w:t>，</w:t>
      </w:r>
      <w:r>
        <w:rPr>
          <w:rFonts w:hint="eastAsia" w:ascii="仿宋_GB2312" w:eastAsia="仿宋_GB2312"/>
          <w:sz w:val="28"/>
          <w:szCs w:val="28"/>
          <w:lang w:val="en-US" w:eastAsia="zh-CN"/>
        </w:rPr>
        <w:t>包含电梯维保期间的保险费。</w:t>
      </w:r>
    </w:p>
    <w:p w14:paraId="76D7D113">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维保应覆盖《电梯使用管理与维保规则》（TSG T500</w:t>
      </w:r>
      <w:r>
        <w:rPr>
          <w:rFonts w:hint="eastAsia" w:ascii="仿宋_GB2312" w:eastAsia="仿宋_GB2312"/>
          <w:sz w:val="28"/>
          <w:szCs w:val="28"/>
          <w:lang w:val="en-US" w:eastAsia="zh-CN"/>
        </w:rPr>
        <w:t>2</w:t>
      </w:r>
      <w:r>
        <w:rPr>
          <w:rFonts w:hint="eastAsia" w:ascii="仿宋_GB2312" w:eastAsia="仿宋_GB2312"/>
          <w:sz w:val="28"/>
          <w:szCs w:val="28"/>
        </w:rPr>
        <w:t>-2017）规定的半月、季度、半年、年度保养项目及电梯制造单位技术文件所要求的其他保养项目。</w:t>
      </w:r>
    </w:p>
    <w:p w14:paraId="02CD1E43">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保证电梯功能运行正常，保障电梯安全可靠运行，防止事故的发生。</w:t>
      </w:r>
    </w:p>
    <w:p w14:paraId="05A97665">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当电梯发生伤亡事故或者困人故障，竞价方应在接到采购方通知后30分钟内赶到现场实施紧急救援，电梯发生其他故障，竞价方应在接到采购方通知后2小时内赶到现场实施抢修。</w:t>
      </w:r>
    </w:p>
    <w:p w14:paraId="543283B4">
      <w:pPr>
        <w:pStyle w:val="2"/>
        <w:ind w:firstLine="720"/>
      </w:pPr>
      <w:bookmarkStart w:id="2" w:name="_Toc161594379"/>
      <w:r>
        <w:rPr>
          <w:rFonts w:hint="eastAsia"/>
        </w:rPr>
        <w:t>第三章</w:t>
      </w:r>
      <w:r>
        <w:t xml:space="preserve"> </w:t>
      </w:r>
      <w:r>
        <w:rPr>
          <w:rFonts w:hint="eastAsia"/>
        </w:rPr>
        <w:t>响应单位须知</w:t>
      </w:r>
      <w:bookmarkEnd w:id="2"/>
    </w:p>
    <w:p w14:paraId="4D867210">
      <w:pPr>
        <w:ind w:firstLine="480"/>
      </w:pPr>
    </w:p>
    <w:p w14:paraId="0D0EC5C9">
      <w:pPr>
        <w:rPr>
          <w:rFonts w:ascii="黑体" w:hAnsi="黑体" w:eastAsia="黑体"/>
          <w:sz w:val="28"/>
          <w:szCs w:val="28"/>
        </w:rPr>
      </w:pPr>
      <w:r>
        <w:rPr>
          <w:rFonts w:hint="eastAsia" w:ascii="黑体" w:hAnsi="黑体" w:eastAsia="黑体"/>
          <w:sz w:val="28"/>
          <w:szCs w:val="28"/>
        </w:rPr>
        <w:t>一、采购文件的组成</w:t>
      </w:r>
    </w:p>
    <w:p w14:paraId="215AAA77">
      <w:pPr>
        <w:rPr>
          <w:rFonts w:ascii="仿宋_GB2312" w:eastAsia="仿宋_GB2312"/>
          <w:sz w:val="28"/>
          <w:szCs w:val="28"/>
        </w:rPr>
      </w:pPr>
      <w:r>
        <w:rPr>
          <w:rFonts w:hint="eastAsia" w:ascii="仿宋_GB2312" w:eastAsia="仿宋_GB2312"/>
          <w:sz w:val="28"/>
          <w:szCs w:val="28"/>
        </w:rPr>
        <w:t>本文件及依法对本文件所作的书面澄清或修改的内容均为采购文件的组成部分。响应单位应认真检查采购文件的内容是否齐全，如有遗漏，应及时向采购人提出，否则责任自负。</w:t>
      </w:r>
    </w:p>
    <w:p w14:paraId="2AB058F3">
      <w:pPr>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采购文件的澄清、修改</w:t>
      </w:r>
    </w:p>
    <w:p w14:paraId="6C6199FF">
      <w:pPr>
        <w:rPr>
          <w:rFonts w:ascii="仿宋_GB2312" w:eastAsia="仿宋_GB2312"/>
          <w:sz w:val="28"/>
          <w:szCs w:val="28"/>
        </w:rPr>
      </w:pPr>
      <w:r>
        <w:rPr>
          <w:rFonts w:ascii="仿宋_GB2312" w:eastAsia="仿宋_GB2312"/>
          <w:sz w:val="28"/>
          <w:szCs w:val="28"/>
        </w:rPr>
        <w:t>1.响应单位对采购文件如有疑问，或认为有必要与采购人进行澄清时，可用书面或邮件的形式告知项目联系人，</w:t>
      </w:r>
      <w:r>
        <w:rPr>
          <w:rFonts w:hint="eastAsia" w:ascii="仿宋_GB2312" w:hAnsi="仿宋" w:eastAsia="仿宋_GB2312"/>
          <w:color w:val="000000" w:themeColor="text1"/>
          <w:sz w:val="28"/>
          <w:szCs w:val="28"/>
          <w14:textFill>
            <w14:solidFill>
              <w14:schemeClr w14:val="tx1"/>
            </w14:solidFill>
          </w14:textFill>
        </w:rPr>
        <w:t>但告知时间必须在公告规定的时间内。</w:t>
      </w:r>
      <w:r>
        <w:rPr>
          <w:rFonts w:ascii="仿宋_GB2312" w:eastAsia="仿宋_GB2312"/>
          <w:sz w:val="28"/>
          <w:szCs w:val="28"/>
        </w:rPr>
        <w:t>采购人应及时作出答复，如有必要时可将答复内容包括提出的问题（但不标明问题的来源），分发给已经取得同一采购文件的响应单位。</w:t>
      </w:r>
    </w:p>
    <w:p w14:paraId="744DB9B5">
      <w:pPr>
        <w:rPr>
          <w:rFonts w:ascii="仿宋_GB2312" w:eastAsia="仿宋_GB2312"/>
          <w:sz w:val="28"/>
          <w:szCs w:val="28"/>
        </w:rPr>
      </w:pPr>
      <w:r>
        <w:rPr>
          <w:rFonts w:ascii="仿宋_GB2312" w:eastAsia="仿宋_GB2312"/>
          <w:sz w:val="28"/>
          <w:szCs w:val="28"/>
        </w:rPr>
        <w:t>2.本采购文件的解释权归采购人。响应单位对采购人提供的采购文件所做出的推论、解释和结论，采购人概不负责。响应单位未成交的原因，采购人没有义务解释。</w:t>
      </w:r>
    </w:p>
    <w:p w14:paraId="52FBEC7B">
      <w:pPr>
        <w:rPr>
          <w:rFonts w:ascii="仿宋_GB2312" w:eastAsia="仿宋_GB2312"/>
          <w:sz w:val="28"/>
          <w:szCs w:val="28"/>
        </w:rPr>
      </w:pPr>
      <w:r>
        <w:rPr>
          <w:rFonts w:ascii="仿宋_GB2312" w:eastAsia="仿宋_GB2312"/>
          <w:sz w:val="28"/>
          <w:szCs w:val="28"/>
        </w:rPr>
        <w:t>3.采购人有权对已发出的采购文件进行必要的澄清、修改或撤销。采购文件的澄清、修改文件是采购文件的组成部分。</w:t>
      </w:r>
    </w:p>
    <w:p w14:paraId="66ABA8F5">
      <w:pPr>
        <w:rPr>
          <w:rFonts w:ascii="黑体" w:hAnsi="黑体" w:eastAsia="黑体"/>
          <w:sz w:val="28"/>
          <w:szCs w:val="28"/>
        </w:rPr>
      </w:pPr>
      <w:r>
        <w:rPr>
          <w:rFonts w:hint="eastAsia" w:ascii="黑体" w:hAnsi="黑体" w:eastAsia="黑体"/>
          <w:sz w:val="28"/>
          <w:szCs w:val="28"/>
        </w:rPr>
        <w:t xml:space="preserve">三、响应文件的组成： </w:t>
      </w:r>
    </w:p>
    <w:p w14:paraId="0D61AAA4">
      <w:pPr>
        <w:snapToGrid w:val="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1.响应文件目录表（可参考附件1）；</w:t>
      </w:r>
    </w:p>
    <w:p w14:paraId="73E86920">
      <w:pPr>
        <w:snapToGrid w:val="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2.响应函（可参考附件2）；</w:t>
      </w:r>
    </w:p>
    <w:p w14:paraId="073181E6">
      <w:pPr>
        <w:snapToGrid w:val="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3.法定代表人身份证明书与身份证复印件，如</w:t>
      </w:r>
      <w:bookmarkStart w:id="3" w:name="_Hlk73366933"/>
      <w:r>
        <w:rPr>
          <w:rFonts w:hint="eastAsia" w:ascii="仿宋_GB2312" w:hAnsi="仿宋" w:eastAsia="仿宋_GB2312"/>
          <w:color w:val="000000" w:themeColor="text1"/>
          <w:sz w:val="28"/>
          <w:szCs w:val="28"/>
          <w14:textFill>
            <w14:solidFill>
              <w14:schemeClr w14:val="tx1"/>
            </w14:solidFill>
          </w14:textFill>
        </w:rPr>
        <w:t>法定代表人作为响应单位代表的，则需同时提供法定代表人授权委托书与委托代理人身份证复印件</w:t>
      </w:r>
      <w:bookmarkEnd w:id="3"/>
      <w:r>
        <w:rPr>
          <w:rFonts w:hint="eastAsia" w:ascii="仿宋_GB2312" w:hAnsi="仿宋" w:eastAsia="仿宋_GB2312"/>
          <w:color w:val="000000" w:themeColor="text1"/>
          <w:sz w:val="28"/>
          <w:szCs w:val="28"/>
          <w14:textFill>
            <w14:solidFill>
              <w14:schemeClr w14:val="tx1"/>
            </w14:solidFill>
          </w14:textFill>
        </w:rPr>
        <w:t xml:space="preserve">（可参考附件3、附件4）； </w:t>
      </w:r>
    </w:p>
    <w:p w14:paraId="431C2990">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4.报价单（可参考附件5）；</w:t>
      </w:r>
    </w:p>
    <w:p w14:paraId="0155C7AF">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5.响应单位营业执照（如营业执照无体现经营范围，需提交深圳市市场监督管理局许可经营信息截图）；</w:t>
      </w:r>
    </w:p>
    <w:p w14:paraId="55225EC0">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6.需提供股东、董事、监事、法定代表人、高级管理人员及经办人名单以及公司注册地址清单（可参考附件6）；</w:t>
      </w:r>
    </w:p>
    <w:p w14:paraId="19FE5FCF">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7.“信用中国”网站(www.creditchina.gov.cn）的“失信被执行人”、“重大税收违法失信主体”、“政府采购严重违法失信行为记录名单”查询结果网页截图，并加盖投标人公章；</w:t>
      </w:r>
    </w:p>
    <w:p w14:paraId="08F55626">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8.供应商基本情况表（可参考附件7）；</w:t>
      </w:r>
    </w:p>
    <w:p w14:paraId="1B0D1713">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9.供应商认为需要提供的其他资料。</w:t>
      </w:r>
    </w:p>
    <w:p w14:paraId="21563EB3">
      <w:pPr>
        <w:rPr>
          <w:rFonts w:ascii="黑体" w:hAnsi="黑体" w:eastAsia="黑体"/>
          <w:sz w:val="28"/>
          <w:szCs w:val="28"/>
        </w:rPr>
      </w:pPr>
      <w:r>
        <w:rPr>
          <w:rFonts w:hint="eastAsia" w:ascii="黑体" w:hAnsi="黑体" w:eastAsia="黑体"/>
          <w:sz w:val="28"/>
          <w:szCs w:val="28"/>
        </w:rPr>
        <w:t>四、响应文件的制作</w:t>
      </w:r>
    </w:p>
    <w:p w14:paraId="09A0D2AB">
      <w:pPr>
        <w:rPr>
          <w:rFonts w:ascii="仿宋_GB2312" w:eastAsia="仿宋_GB2312"/>
          <w:sz w:val="28"/>
          <w:szCs w:val="28"/>
        </w:rPr>
      </w:pPr>
      <w:r>
        <w:rPr>
          <w:rFonts w:hint="eastAsia" w:ascii="仿宋_GB2312" w:eastAsia="仿宋_GB2312"/>
          <w:sz w:val="28"/>
          <w:szCs w:val="28"/>
        </w:rPr>
        <w:t>1.响应文件需进行密封，准备一份正本（详见附件3），装订成册，制订目录并编上页码，同时注明项目名称、响应单位名称等必要信息。响应文件正本应加盖公章（多页加盖骑缝章）。未按要求密封的，将予以拒绝，作无效响应处理。</w:t>
      </w:r>
    </w:p>
    <w:p w14:paraId="3CD574A4">
      <w:pPr>
        <w:rPr>
          <w:rFonts w:ascii="仿宋_GB2312" w:eastAsia="仿宋_GB2312"/>
          <w:sz w:val="28"/>
          <w:szCs w:val="28"/>
        </w:rPr>
      </w:pPr>
      <w:r>
        <w:rPr>
          <w:rFonts w:hint="eastAsia" w:ascii="仿宋_GB2312" w:eastAsia="仿宋_GB2312"/>
          <w:sz w:val="28"/>
          <w:szCs w:val="28"/>
        </w:rPr>
        <w:t>2.招标人拒绝接收在规定的响应截止时间后递交的任何响应文件。</w:t>
      </w:r>
    </w:p>
    <w:p w14:paraId="4324B67C">
      <w:pPr>
        <w:rPr>
          <w:rFonts w:ascii="仿宋_GB2312" w:eastAsia="仿宋_GB2312"/>
          <w:sz w:val="28"/>
          <w:szCs w:val="28"/>
        </w:rPr>
      </w:pPr>
      <w:r>
        <w:rPr>
          <w:rFonts w:hint="eastAsia" w:ascii="仿宋_GB2312" w:eastAsia="仿宋_GB2312"/>
          <w:sz w:val="28"/>
          <w:szCs w:val="28"/>
        </w:rPr>
        <w:t xml:space="preserve">3.不论响应人成交与否，响应文件均不退还。 </w:t>
      </w:r>
    </w:p>
    <w:p w14:paraId="30F7D440">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4.报价单位为人民币元（保留小数点后两位）。</w:t>
      </w:r>
    </w:p>
    <w:p w14:paraId="2CF37A4B">
      <w:pPr>
        <w:rPr>
          <w:rFonts w:ascii="黑体" w:hAnsi="黑体" w:eastAsia="黑体"/>
          <w:sz w:val="28"/>
          <w:szCs w:val="28"/>
        </w:rPr>
      </w:pPr>
      <w:r>
        <w:rPr>
          <w:rFonts w:hint="eastAsia" w:ascii="黑体" w:hAnsi="黑体" w:eastAsia="黑体"/>
          <w:sz w:val="28"/>
          <w:szCs w:val="28"/>
        </w:rPr>
        <w:t>五、不要求递交响应保证金、不设履约保证金</w:t>
      </w:r>
    </w:p>
    <w:p w14:paraId="3BCAE6AD">
      <w:pPr>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六、响应文件有限期：</w:t>
      </w:r>
      <w:r>
        <w:rPr>
          <w:rFonts w:hint="eastAsia" w:ascii="仿宋_GB2312" w:hAnsi="仿宋" w:eastAsia="仿宋_GB2312"/>
          <w:color w:val="000000" w:themeColor="text1"/>
          <w:sz w:val="28"/>
          <w:szCs w:val="28"/>
          <w14:textFill>
            <w14:solidFill>
              <w14:schemeClr w14:val="tx1"/>
            </w14:solidFill>
          </w14:textFill>
        </w:rPr>
        <w:t>自递交响应文件截止之日起60个日历日。出现特殊情况需要延长响应文件有效期的，采购人以书面形式通知所有供应商延长响应文件有效期，供应商应予以书面答复。供应商拒绝延长的，其响应文件在原有效期届满后失效。</w:t>
      </w:r>
    </w:p>
    <w:p w14:paraId="7BD9DC5B">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七、响应单位一次性报出不可更改的价格，不可撤回。</w:t>
      </w:r>
    </w:p>
    <w:p w14:paraId="52BC9EBE">
      <w:pPr>
        <w:rPr>
          <w:rFonts w:ascii="仿宋_GB2312" w:hAnsi="仿宋"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供应商作废响应文件的，其负责人或授权的代理人应在修作废响应文件的通知上签字并加盖公章。采购人收到供应商作废响应文件通知并检查确认无误后，留存其作废通知，退回其已经递交的响应文件。</w:t>
      </w:r>
    </w:p>
    <w:p w14:paraId="056F0F81">
      <w:pPr>
        <w:rPr>
          <w:rFonts w:ascii="黑体" w:hAnsi="黑体" w:eastAsia="黑体"/>
          <w:sz w:val="28"/>
          <w:szCs w:val="28"/>
        </w:rPr>
      </w:pPr>
      <w:r>
        <w:rPr>
          <w:rFonts w:hint="eastAsia" w:ascii="黑体" w:hAnsi="黑体" w:eastAsia="黑体"/>
          <w:sz w:val="28"/>
          <w:szCs w:val="28"/>
        </w:rPr>
        <w:t>八、评审</w:t>
      </w:r>
    </w:p>
    <w:p w14:paraId="7FFA5A88">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评审方法为最低价中标，报价最低且资格符合的响应单位为成交响应单位。由招标人负责组建询价小组负责项目评审工作。</w:t>
      </w:r>
    </w:p>
    <w:p w14:paraId="2375C1CC">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1.资格性检查。依据法律法规和采购文件的规定，对响应文件中的资格证明进行审查；</w:t>
      </w:r>
    </w:p>
    <w:p w14:paraId="79EE178E">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2.符合性检查。依据采购文件的规定，从响应文件的有效性、完整性进行审查；</w:t>
      </w:r>
    </w:p>
    <w:p w14:paraId="7828A2FF">
      <w:pPr>
        <w:spacing w:line="480" w:lineRule="exact"/>
        <w:rPr>
          <w:rFonts w:ascii="仿宋_GB2312" w:hAnsi="宋体" w:eastAsia="仿宋_GB2312"/>
          <w:sz w:val="28"/>
          <w:szCs w:val="28"/>
        </w:rPr>
      </w:pPr>
      <w:r>
        <w:rPr>
          <w:rFonts w:hint="eastAsia" w:ascii="仿宋_GB2312" w:hAnsi="仿宋" w:eastAsia="仿宋_GB2312"/>
          <w:color w:val="000000" w:themeColor="text1"/>
          <w:sz w:val="28"/>
          <w:szCs w:val="28"/>
          <w14:textFill>
            <w14:solidFill>
              <w14:schemeClr w14:val="tx1"/>
            </w14:solidFill>
          </w14:textFill>
        </w:rPr>
        <w:t>3.由询价小组从资格符合的响应单位中，按照最终总报价最低的响应单位确定为</w:t>
      </w:r>
      <w:r>
        <w:rPr>
          <w:rFonts w:hint="eastAsia" w:ascii="仿宋_GB2312" w:hAnsi="宋体" w:eastAsia="仿宋_GB2312"/>
          <w:sz w:val="28"/>
          <w:szCs w:val="28"/>
        </w:rPr>
        <w:t>第一顺位成交候选人。</w:t>
      </w:r>
    </w:p>
    <w:p w14:paraId="39C8F515">
      <w:pPr>
        <w:rPr>
          <w:rFonts w:ascii="黑体" w:hAnsi="黑体" w:eastAsia="黑体"/>
          <w:sz w:val="28"/>
          <w:szCs w:val="28"/>
        </w:rPr>
      </w:pPr>
      <w:r>
        <w:rPr>
          <w:rFonts w:hint="eastAsia" w:ascii="黑体" w:hAnsi="黑体" w:eastAsia="黑体"/>
          <w:sz w:val="28"/>
          <w:szCs w:val="28"/>
        </w:rPr>
        <w:t xml:space="preserve">九、无效响应文件的确认 </w:t>
      </w:r>
    </w:p>
    <w:p w14:paraId="3C0B8004">
      <w:pPr>
        <w:rPr>
          <w:rFonts w:ascii="仿宋_GB2312" w:eastAsia="仿宋_GB2312"/>
          <w:sz w:val="28"/>
          <w:szCs w:val="28"/>
        </w:rPr>
      </w:pPr>
      <w:r>
        <w:rPr>
          <w:rFonts w:hint="eastAsia" w:ascii="仿宋_GB2312" w:eastAsia="仿宋_GB2312"/>
          <w:sz w:val="28"/>
          <w:szCs w:val="28"/>
        </w:rPr>
        <w:t xml:space="preserve">被认定为未实质性响应询价采购文件的情形： </w:t>
      </w:r>
    </w:p>
    <w:p w14:paraId="7F4FA262">
      <w:pPr>
        <w:rPr>
          <w:rFonts w:ascii="仿宋_GB2312" w:eastAsia="仿宋_GB2312"/>
          <w:sz w:val="28"/>
          <w:szCs w:val="28"/>
        </w:rPr>
      </w:pPr>
      <w:r>
        <w:rPr>
          <w:rFonts w:hint="eastAsia" w:ascii="仿宋_GB2312" w:eastAsia="仿宋_GB2312"/>
          <w:sz w:val="28"/>
          <w:szCs w:val="28"/>
        </w:rPr>
        <w:t>1.响应文件未按要求密封、签署、盖章的；</w:t>
      </w:r>
    </w:p>
    <w:p w14:paraId="651BBBC9">
      <w:pPr>
        <w:rPr>
          <w:rFonts w:ascii="仿宋_GB2312" w:eastAsia="仿宋_GB2312"/>
          <w:sz w:val="28"/>
          <w:szCs w:val="28"/>
        </w:rPr>
      </w:pPr>
      <w:r>
        <w:rPr>
          <w:rFonts w:hint="eastAsia" w:ascii="仿宋_GB2312" w:eastAsia="仿宋_GB2312"/>
          <w:sz w:val="28"/>
          <w:szCs w:val="28"/>
        </w:rPr>
        <w:t>2.项目总报价超过本项目最高限价的；</w:t>
      </w:r>
    </w:p>
    <w:p w14:paraId="02D8D984">
      <w:pPr>
        <w:rPr>
          <w:rFonts w:ascii="仿宋_GB2312" w:eastAsia="仿宋_GB2312"/>
          <w:sz w:val="28"/>
          <w:szCs w:val="28"/>
        </w:rPr>
      </w:pPr>
      <w:r>
        <w:rPr>
          <w:rFonts w:hint="eastAsia" w:ascii="仿宋_GB2312" w:eastAsia="仿宋_GB2312"/>
          <w:sz w:val="28"/>
          <w:szCs w:val="28"/>
        </w:rPr>
        <w:t xml:space="preserve">3.不具备采购文件中规定的资格要求或未按采购文件规定的要求提供资格、资信证明文件的； </w:t>
      </w:r>
    </w:p>
    <w:p w14:paraId="29B07E1D">
      <w:pPr>
        <w:rPr>
          <w:rFonts w:ascii="仿宋_GB2312" w:eastAsia="仿宋_GB2312"/>
          <w:sz w:val="28"/>
          <w:szCs w:val="28"/>
        </w:rPr>
      </w:pPr>
      <w:r>
        <w:rPr>
          <w:rFonts w:hint="eastAsia" w:ascii="仿宋_GB2312" w:eastAsia="仿宋_GB2312"/>
          <w:sz w:val="28"/>
          <w:szCs w:val="28"/>
        </w:rPr>
        <w:t>4.不同响应单位的单位负责人为同一人或者存在直接控股、管理关系的；</w:t>
      </w:r>
    </w:p>
    <w:p w14:paraId="25730C8E">
      <w:pPr>
        <w:rPr>
          <w:rFonts w:ascii="仿宋_GB2312" w:eastAsia="仿宋_GB2312"/>
          <w:sz w:val="28"/>
          <w:szCs w:val="28"/>
        </w:rPr>
      </w:pPr>
      <w:r>
        <w:rPr>
          <w:rFonts w:hint="eastAsia" w:ascii="仿宋_GB2312" w:eastAsia="仿宋_GB2312"/>
          <w:sz w:val="28"/>
          <w:szCs w:val="28"/>
        </w:rPr>
        <w:t>5.提供虚假材料的；</w:t>
      </w:r>
    </w:p>
    <w:p w14:paraId="14D99FFC">
      <w:pPr>
        <w:rPr>
          <w:rFonts w:ascii="仿宋_GB2312" w:eastAsia="仿宋_GB2312"/>
          <w:sz w:val="28"/>
          <w:szCs w:val="28"/>
        </w:rPr>
      </w:pPr>
      <w:r>
        <w:rPr>
          <w:rFonts w:hint="eastAsia" w:ascii="仿宋_GB2312" w:eastAsia="仿宋_GB2312"/>
          <w:sz w:val="28"/>
          <w:szCs w:val="28"/>
        </w:rPr>
        <w:t>6.不符合法律、法规和询价文件中规定的其他实质性要求和条件的；</w:t>
      </w:r>
    </w:p>
    <w:p w14:paraId="4EB9045B">
      <w:pPr>
        <w:rPr>
          <w:rFonts w:ascii="仿宋_GB2312" w:eastAsia="仿宋_GB2312"/>
          <w:sz w:val="28"/>
          <w:szCs w:val="28"/>
        </w:rPr>
      </w:pPr>
      <w:r>
        <w:rPr>
          <w:rFonts w:hint="eastAsia" w:ascii="仿宋_GB2312" w:eastAsia="仿宋_GB2312"/>
          <w:sz w:val="28"/>
          <w:szCs w:val="28"/>
        </w:rPr>
        <w:t>7.响应单位报价清单存在漏项或者不按照采购文件报价清单提供的数量填写</w:t>
      </w:r>
      <w:r>
        <w:rPr>
          <w:rFonts w:hint="eastAsia" w:ascii="仿宋_GB2312" w:hAnsi="仿宋" w:eastAsia="仿宋_GB2312"/>
          <w:color w:val="000000" w:themeColor="text1"/>
          <w:sz w:val="28"/>
          <w:szCs w:val="28"/>
          <w14:textFill>
            <w14:solidFill>
              <w14:schemeClr w14:val="tx1"/>
            </w14:solidFill>
          </w14:textFill>
        </w:rPr>
        <w:t>，响应文件中存在有选择的报价；</w:t>
      </w:r>
    </w:p>
    <w:p w14:paraId="55A6BC48">
      <w:pPr>
        <w:rPr>
          <w:rFonts w:ascii="仿宋_GB2312" w:eastAsia="仿宋_GB2312"/>
          <w:sz w:val="28"/>
          <w:szCs w:val="28"/>
        </w:rPr>
      </w:pPr>
      <w:r>
        <w:rPr>
          <w:rFonts w:hint="eastAsia" w:ascii="仿宋_GB2312" w:eastAsia="仿宋_GB2312"/>
          <w:sz w:val="28"/>
          <w:szCs w:val="28"/>
        </w:rPr>
        <w:t>8.价格过低，不能证明合理性的；</w:t>
      </w:r>
    </w:p>
    <w:p w14:paraId="41BA1F1F">
      <w:pPr>
        <w:rPr>
          <w:rFonts w:ascii="仿宋_GB2312" w:eastAsia="仿宋_GB2312"/>
          <w:sz w:val="28"/>
          <w:szCs w:val="28"/>
        </w:rPr>
      </w:pPr>
      <w:r>
        <w:rPr>
          <w:rFonts w:hint="eastAsia" w:ascii="仿宋_GB2312" w:eastAsia="仿宋_GB2312"/>
          <w:sz w:val="28"/>
          <w:szCs w:val="28"/>
        </w:rPr>
        <w:t>9.增加不能接受的附加条件。</w:t>
      </w:r>
    </w:p>
    <w:p w14:paraId="7ECEE943">
      <w:pPr>
        <w:rPr>
          <w:rFonts w:ascii="黑体" w:hAnsi="黑体" w:eastAsia="黑体"/>
          <w:sz w:val="28"/>
          <w:szCs w:val="28"/>
        </w:rPr>
      </w:pPr>
      <w:r>
        <w:rPr>
          <w:rFonts w:hint="eastAsia" w:ascii="黑体" w:hAnsi="黑体" w:eastAsia="黑体"/>
          <w:sz w:val="28"/>
          <w:szCs w:val="28"/>
        </w:rPr>
        <w:t>十、符合采购要求的响应单位不足3家的，采购人将重新组织询价或采取其他采购方式。</w:t>
      </w:r>
    </w:p>
    <w:p w14:paraId="2E4EBBF6">
      <w:pPr>
        <w:rPr>
          <w:rFonts w:ascii="黑体" w:hAnsi="黑体" w:eastAsia="黑体"/>
          <w:sz w:val="28"/>
          <w:szCs w:val="28"/>
        </w:rPr>
      </w:pPr>
      <w:bookmarkStart w:id="4" w:name="_Hlk161586138"/>
      <w:r>
        <w:rPr>
          <w:rFonts w:hint="eastAsia" w:ascii="黑体" w:hAnsi="黑体" w:eastAsia="黑体"/>
          <w:sz w:val="28"/>
          <w:szCs w:val="28"/>
        </w:rPr>
        <w:t>十一、保密</w:t>
      </w:r>
    </w:p>
    <w:p w14:paraId="79F46DB0">
      <w:pPr>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参与采购活动的各方应对采购文件、响应文件以及评审过程中获知的商业、技术、人员等信息保密，违者应对由此造成的后果承担法律责任。</w:t>
      </w:r>
    </w:p>
    <w:p w14:paraId="4A43339C">
      <w:pPr>
        <w:rPr>
          <w:rFonts w:ascii="黑体" w:hAnsi="黑体" w:eastAsia="黑体"/>
          <w:sz w:val="28"/>
          <w:szCs w:val="28"/>
        </w:rPr>
      </w:pPr>
      <w:r>
        <w:rPr>
          <w:rFonts w:hint="eastAsia" w:ascii="黑体" w:hAnsi="黑体" w:eastAsia="黑体"/>
          <w:sz w:val="28"/>
          <w:szCs w:val="28"/>
        </w:rPr>
        <w:t>十二、成交通知书</w:t>
      </w:r>
    </w:p>
    <w:p w14:paraId="434F04C5">
      <w:pPr>
        <w:rPr>
          <w:rFonts w:ascii="仿宋_GB2312" w:eastAsia="仿宋_GB2312"/>
          <w:sz w:val="28"/>
          <w:szCs w:val="28"/>
        </w:rPr>
      </w:pPr>
      <w:r>
        <w:rPr>
          <w:rFonts w:hint="eastAsia" w:ascii="仿宋_GB2312" w:hAnsi="宋体" w:eastAsia="仿宋_GB2312"/>
          <w:color w:val="000000" w:themeColor="text1"/>
          <w:sz w:val="28"/>
          <w:szCs w:val="28"/>
          <w14:textFill>
            <w14:solidFill>
              <w14:schemeClr w14:val="tx1"/>
            </w14:solidFill>
          </w14:textFill>
        </w:rPr>
        <w:t>成交供应商确定后，采购人将在5个工作日内通知中选、落选供应商，并向成交供应商发出成交通知。如接到有关投诉，采购人将可能暂停发出成交通知书。</w:t>
      </w:r>
    </w:p>
    <w:bookmarkEnd w:id="4"/>
    <w:p w14:paraId="79621683">
      <w:pPr>
        <w:rPr>
          <w:rFonts w:ascii="仿宋_GB2312" w:eastAsia="仿宋_GB2312"/>
          <w:sz w:val="28"/>
          <w:szCs w:val="28"/>
        </w:rPr>
      </w:pPr>
    </w:p>
    <w:p w14:paraId="24A6AC64">
      <w:pPr>
        <w:pStyle w:val="2"/>
        <w:ind w:firstLine="720"/>
      </w:pPr>
      <w:bookmarkStart w:id="5" w:name="_Toc161594380"/>
      <w:r>
        <w:rPr>
          <w:rFonts w:hint="eastAsia"/>
        </w:rPr>
        <w:t>第四章 合同签订及其他</w:t>
      </w:r>
      <w:bookmarkEnd w:id="5"/>
    </w:p>
    <w:p w14:paraId="2DAAB36C">
      <w:pPr>
        <w:ind w:firstLine="480"/>
      </w:pPr>
    </w:p>
    <w:p w14:paraId="6A03312F">
      <w:pPr>
        <w:spacing w:line="360" w:lineRule="auto"/>
        <w:rPr>
          <w:rFonts w:ascii="仿宋_GB2312" w:hAnsi="宋体" w:eastAsia="仿宋_GB2312"/>
          <w:color w:val="000000" w:themeColor="text1"/>
          <w:sz w:val="28"/>
          <w:szCs w:val="28"/>
          <w14:textFill>
            <w14:solidFill>
              <w14:schemeClr w14:val="tx1"/>
            </w14:solidFill>
          </w14:textFill>
        </w:rPr>
      </w:pPr>
      <w:bookmarkStart w:id="6" w:name="_Hlk161591721"/>
      <w:r>
        <w:rPr>
          <w:rFonts w:hint="eastAsia" w:ascii="仿宋_GB2312" w:hAnsi="宋体" w:eastAsia="仿宋_GB2312"/>
          <w:color w:val="000000" w:themeColor="text1"/>
          <w:sz w:val="28"/>
          <w:szCs w:val="28"/>
          <w14:textFill>
            <w14:solidFill>
              <w14:schemeClr w14:val="tx1"/>
            </w14:solidFill>
          </w14:textFill>
        </w:rPr>
        <w:t>1.</w:t>
      </w:r>
      <w:r>
        <w:rPr>
          <w:rFonts w:ascii="仿宋_GB2312" w:hAnsi="宋体" w:eastAsia="仿宋_GB2312"/>
          <w:color w:val="000000" w:themeColor="text1"/>
          <w:sz w:val="28"/>
          <w:szCs w:val="28"/>
          <w14:textFill>
            <w14:solidFill>
              <w14:schemeClr w14:val="tx1"/>
            </w14:solidFill>
          </w14:textFill>
        </w:rPr>
        <w:t>采购人和成交供应商应当</w:t>
      </w:r>
      <w:r>
        <w:rPr>
          <w:rFonts w:hint="eastAsia" w:ascii="仿宋_GB2312" w:hAnsi="宋体" w:eastAsia="仿宋_GB2312"/>
          <w:color w:val="000000" w:themeColor="text1"/>
          <w:sz w:val="28"/>
          <w:szCs w:val="28"/>
          <w14:textFill>
            <w14:solidFill>
              <w14:schemeClr w14:val="tx1"/>
            </w14:solidFill>
          </w14:textFill>
        </w:rPr>
        <w:t>自</w:t>
      </w:r>
      <w:r>
        <w:rPr>
          <w:rFonts w:ascii="仿宋_GB2312" w:hAnsi="宋体" w:eastAsia="仿宋_GB2312"/>
          <w:color w:val="000000" w:themeColor="text1"/>
          <w:sz w:val="28"/>
          <w:szCs w:val="28"/>
          <w14:textFill>
            <w14:solidFill>
              <w14:schemeClr w14:val="tx1"/>
            </w14:solidFill>
          </w14:textFill>
        </w:rPr>
        <w:t>成交通知书发出之日起</w:t>
      </w:r>
      <w:r>
        <w:rPr>
          <w:rFonts w:hint="eastAsia" w:ascii="仿宋_GB2312" w:hAnsi="宋体" w:eastAsia="仿宋_GB2312"/>
          <w:color w:val="000000" w:themeColor="text1"/>
          <w:sz w:val="28"/>
          <w:szCs w:val="28"/>
          <w14:textFill>
            <w14:solidFill>
              <w14:schemeClr w14:val="tx1"/>
            </w14:solidFill>
          </w14:textFill>
        </w:rPr>
        <w:t>30</w:t>
      </w:r>
      <w:r>
        <w:rPr>
          <w:rFonts w:ascii="仿宋_GB2312" w:hAnsi="宋体" w:eastAsia="仿宋_GB2312"/>
          <w:color w:val="000000" w:themeColor="text1"/>
          <w:sz w:val="28"/>
          <w:szCs w:val="28"/>
          <w14:textFill>
            <w14:solidFill>
              <w14:schemeClr w14:val="tx1"/>
            </w14:solidFill>
          </w14:textFill>
        </w:rPr>
        <w:t>日内订立书面合同</w:t>
      </w:r>
      <w:r>
        <w:rPr>
          <w:rFonts w:hint="eastAsia" w:ascii="仿宋_GB2312" w:hAnsi="宋体" w:eastAsia="仿宋_GB2312"/>
          <w:color w:val="000000" w:themeColor="text1"/>
          <w:sz w:val="28"/>
          <w:szCs w:val="28"/>
          <w14:textFill>
            <w14:solidFill>
              <w14:schemeClr w14:val="tx1"/>
            </w14:solidFill>
          </w14:textFill>
        </w:rPr>
        <w:t>。采购文件、成交供应商的响应文件及其澄清、修改文件等，均为签订合同的依据。</w:t>
      </w:r>
    </w:p>
    <w:p w14:paraId="20C44454">
      <w:pPr>
        <w:spacing w:line="360" w:lineRule="auto"/>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w:t>
      </w:r>
      <w:bookmarkStart w:id="7" w:name="_Hlk65256787"/>
      <w:r>
        <w:rPr>
          <w:rFonts w:ascii="仿宋_GB2312" w:hAnsi="宋体" w:eastAsia="仿宋_GB2312"/>
          <w:color w:val="000000" w:themeColor="text1"/>
          <w:sz w:val="28"/>
          <w:szCs w:val="28"/>
          <w14:textFill>
            <w14:solidFill>
              <w14:schemeClr w14:val="tx1"/>
            </w14:solidFill>
          </w14:textFill>
        </w:rPr>
        <w:t>成交供应商</w:t>
      </w:r>
      <w:r>
        <w:rPr>
          <w:rFonts w:hint="eastAsia" w:ascii="仿宋_GB2312" w:hAnsi="宋体" w:eastAsia="仿宋_GB2312"/>
          <w:color w:val="000000" w:themeColor="text1"/>
          <w:sz w:val="28"/>
          <w:szCs w:val="28"/>
          <w14:textFill>
            <w14:solidFill>
              <w14:schemeClr w14:val="tx1"/>
            </w14:solidFill>
          </w14:textFill>
        </w:rPr>
        <w:t>存在</w:t>
      </w:r>
      <w:r>
        <w:rPr>
          <w:rFonts w:ascii="仿宋_GB2312" w:hAnsi="宋体" w:eastAsia="仿宋_GB2312"/>
          <w:color w:val="000000" w:themeColor="text1"/>
          <w:sz w:val="28"/>
          <w:szCs w:val="28"/>
          <w14:textFill>
            <w14:solidFill>
              <w14:schemeClr w14:val="tx1"/>
            </w14:solidFill>
          </w14:textFill>
        </w:rPr>
        <w:t>无正当理由拒签合同</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在签订合同时向采购人提出附加条件</w:t>
      </w:r>
      <w:bookmarkEnd w:id="7"/>
      <w:r>
        <w:rPr>
          <w:rFonts w:hint="eastAsia" w:ascii="仿宋_GB2312" w:hAnsi="宋体" w:eastAsia="仿宋_GB2312"/>
          <w:color w:val="000000" w:themeColor="text1"/>
          <w:sz w:val="28"/>
          <w:szCs w:val="28"/>
          <w14:textFill>
            <w14:solidFill>
              <w14:schemeClr w14:val="tx1"/>
            </w14:solidFill>
          </w14:textFill>
        </w:rPr>
        <w:t>、被查实存在影响采购结果的违反采购文件要求的行为等情形的，</w:t>
      </w:r>
      <w:r>
        <w:rPr>
          <w:rFonts w:ascii="仿宋_GB2312" w:hAnsi="宋体" w:eastAsia="仿宋_GB2312"/>
          <w:color w:val="000000" w:themeColor="text1"/>
          <w:sz w:val="28"/>
          <w:szCs w:val="28"/>
          <w14:textFill>
            <w14:solidFill>
              <w14:schemeClr w14:val="tx1"/>
            </w14:solidFill>
          </w14:textFill>
        </w:rPr>
        <w:t>采购人有权取消其</w:t>
      </w:r>
      <w:r>
        <w:rPr>
          <w:rFonts w:hint="eastAsia" w:ascii="仿宋_GB2312" w:hAnsi="宋体" w:eastAsia="仿宋_GB2312"/>
          <w:color w:val="000000" w:themeColor="text1"/>
          <w:sz w:val="28"/>
          <w:szCs w:val="28"/>
          <w14:textFill>
            <w14:solidFill>
              <w14:schemeClr w14:val="tx1"/>
            </w14:solidFill>
          </w14:textFill>
        </w:rPr>
        <w:t>成交</w:t>
      </w:r>
      <w:r>
        <w:rPr>
          <w:rFonts w:ascii="仿宋_GB2312" w:hAnsi="宋体" w:eastAsia="仿宋_GB2312"/>
          <w:color w:val="000000" w:themeColor="text1"/>
          <w:sz w:val="28"/>
          <w:szCs w:val="28"/>
          <w14:textFill>
            <w14:solidFill>
              <w14:schemeClr w14:val="tx1"/>
            </w14:solidFill>
          </w14:textFill>
        </w:rPr>
        <w:t>资格，</w:t>
      </w:r>
      <w:r>
        <w:rPr>
          <w:rFonts w:hint="eastAsia" w:ascii="仿宋_GB2312" w:hAnsi="宋体" w:eastAsia="仿宋_GB2312"/>
          <w:color w:val="000000" w:themeColor="text1"/>
          <w:sz w:val="28"/>
          <w:szCs w:val="28"/>
          <w14:textFill>
            <w14:solidFill>
              <w14:schemeClr w14:val="tx1"/>
            </w14:solidFill>
          </w14:textFill>
        </w:rPr>
        <w:t>并根据评审报告确定新的成交供应商，</w:t>
      </w:r>
      <w:r>
        <w:rPr>
          <w:rFonts w:ascii="仿宋_GB2312" w:hAnsi="宋体" w:eastAsia="仿宋_GB2312"/>
          <w:color w:val="000000" w:themeColor="text1"/>
          <w:sz w:val="28"/>
          <w:szCs w:val="28"/>
          <w14:textFill>
            <w14:solidFill>
              <w14:schemeClr w14:val="tx1"/>
            </w14:solidFill>
          </w14:textFill>
        </w:rPr>
        <w:t>给</w:t>
      </w:r>
      <w:r>
        <w:rPr>
          <w:rFonts w:hint="eastAsia" w:ascii="仿宋_GB2312" w:hAnsi="宋体" w:eastAsia="仿宋_GB2312"/>
          <w:color w:val="000000" w:themeColor="text1"/>
          <w:sz w:val="28"/>
          <w:szCs w:val="28"/>
          <w14:textFill>
            <w14:solidFill>
              <w14:schemeClr w14:val="tx1"/>
            </w14:solidFill>
          </w14:textFill>
        </w:rPr>
        <w:t>采购人造成损失的，原成交供应商应当进行赔偿。</w:t>
      </w:r>
    </w:p>
    <w:p w14:paraId="33941578">
      <w:pPr>
        <w:spacing w:line="360" w:lineRule="auto"/>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供应商应保证所递交的响应文件的真实性，如被证实存在虚假资料的，采购人将根据对采购过程和采购结果的影响程度采取一切合理措施，包括但不限于取消供应商的响应资格、要求供应商赔偿损失等。</w:t>
      </w:r>
    </w:p>
    <w:p w14:paraId="7EF7A5C5">
      <w:pPr>
        <w:spacing w:line="360" w:lineRule="auto"/>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供应商不得将提供的服务进行转包、分包。</w:t>
      </w:r>
    </w:p>
    <w:bookmarkEnd w:id="6"/>
    <w:p w14:paraId="710612C0">
      <w:pPr>
        <w:ind w:firstLine="480"/>
      </w:pPr>
    </w:p>
    <w:p w14:paraId="7E5F99CD">
      <w:pPr>
        <w:ind w:firstLine="480"/>
        <w:jc w:val="center"/>
        <w:rPr>
          <w:rFonts w:hint="eastAsia" w:ascii="宋体" w:hAnsi="宋体" w:cs="宋体"/>
          <w:b/>
          <w:bCs/>
          <w:sz w:val="32"/>
          <w:szCs w:val="32"/>
          <w:lang w:val="en-US" w:eastAsia="zh-CN"/>
        </w:rPr>
      </w:pPr>
      <w:bookmarkStart w:id="8" w:name="_Hlk161587913"/>
      <w:r>
        <w:rPr>
          <w:rFonts w:hint="eastAsia" w:ascii="宋体" w:hAnsi="宋体" w:cs="宋体"/>
          <w:b/>
          <w:bCs/>
          <w:sz w:val="32"/>
          <w:szCs w:val="32"/>
          <w:lang w:val="en-US" w:eastAsia="zh-CN"/>
        </w:rPr>
        <w:t>深圳书城龙华城电梯维保采购项目草本</w:t>
      </w:r>
    </w:p>
    <w:p w14:paraId="45B57803">
      <w:pPr>
        <w:ind w:firstLine="643"/>
        <w:jc w:val="center"/>
        <w:rPr>
          <w:rFonts w:ascii="宋体" w:hAnsi="宋体" w:cs="宋体"/>
          <w:b/>
          <w:bCs/>
          <w:sz w:val="32"/>
          <w:szCs w:val="32"/>
        </w:rPr>
      </w:pPr>
      <w:r>
        <w:rPr>
          <w:rFonts w:ascii="宋体" w:hAnsi="宋体" w:cs="宋体"/>
          <w:b/>
          <w:bCs/>
          <w:sz w:val="32"/>
          <w:szCs w:val="32"/>
        </w:rPr>
        <w:t>（</w:t>
      </w:r>
      <w:r>
        <w:rPr>
          <w:rFonts w:hint="eastAsia" w:ascii="宋体" w:hAnsi="宋体" w:cs="宋体"/>
          <w:b/>
          <w:bCs/>
          <w:sz w:val="32"/>
          <w:szCs w:val="32"/>
        </w:rPr>
        <w:t>以实际签订为准</w:t>
      </w:r>
      <w:r>
        <w:rPr>
          <w:rFonts w:ascii="宋体" w:hAnsi="宋体" w:cs="宋体"/>
          <w:b/>
          <w:bCs/>
          <w:sz w:val="32"/>
          <w:szCs w:val="32"/>
        </w:rPr>
        <w:t>）</w:t>
      </w:r>
    </w:p>
    <w:p w14:paraId="3991A5CC">
      <w:pPr>
        <w:ind w:firstLine="480"/>
        <w:rPr>
          <w:rFonts w:ascii="宋体" w:hAnsi="宋体" w:cs="宋体"/>
          <w:b/>
          <w:szCs w:val="24"/>
        </w:rPr>
      </w:pPr>
      <w:r>
        <w:rPr>
          <w:rFonts w:ascii="Times New Roman" w:hAnsi="Times New Roman" w:cs="Times New Roman"/>
          <w:szCs w:val="24"/>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278130</wp:posOffset>
                </wp:positionV>
                <wp:extent cx="2637790" cy="1951355"/>
                <wp:effectExtent l="0" t="0" r="10160" b="10795"/>
                <wp:wrapNone/>
                <wp:docPr id="1637669568" name="文本框 1637669568"/>
                <wp:cNvGraphicFramePr/>
                <a:graphic xmlns:a="http://schemas.openxmlformats.org/drawingml/2006/main">
                  <a:graphicData uri="http://schemas.microsoft.com/office/word/2010/wordprocessingShape">
                    <wps:wsp>
                      <wps:cNvSpPr txBox="1">
                        <a:spLocks noChangeArrowheads="1"/>
                      </wps:cNvSpPr>
                      <wps:spPr bwMode="auto">
                        <a:xfrm>
                          <a:off x="0" y="0"/>
                          <a:ext cx="2637790" cy="1951355"/>
                        </a:xfrm>
                        <a:prstGeom prst="rect">
                          <a:avLst/>
                        </a:prstGeom>
                        <a:gradFill rotWithShape="0">
                          <a:gsLst>
                            <a:gs pos="0">
                              <a:srgbClr val="FFFFFF"/>
                            </a:gs>
                            <a:gs pos="100000">
                              <a:srgbClr val="FFFFFF"/>
                            </a:gs>
                          </a:gsLst>
                          <a:lin ang="0"/>
                        </a:gradFill>
                        <a:ln>
                          <a:noFill/>
                        </a:ln>
                        <a:effectLst/>
                      </wps:spPr>
                      <wps:txbx>
                        <w:txbxContent>
                          <w:p w14:paraId="10EC240D">
                            <w:pPr>
                              <w:spacing w:line="360" w:lineRule="auto"/>
                              <w:ind w:left="960" w:hanging="960" w:hangingChars="400"/>
                              <w:rPr>
                                <w:rFonts w:ascii="仿宋_GB2312" w:hAnsi="宋体" w:eastAsia="仿宋_GB2312" w:cs="宋体"/>
                              </w:rPr>
                            </w:pPr>
                            <w:r>
                              <w:rPr>
                                <w:rFonts w:hint="eastAsia" w:ascii="仿宋_GB2312" w:hAnsi="宋体" w:eastAsia="仿宋_GB2312" w:cs="宋体"/>
                              </w:rPr>
                              <w:t xml:space="preserve">乙方： </w:t>
                            </w:r>
                          </w:p>
                          <w:p w14:paraId="18E10B05">
                            <w:pPr>
                              <w:spacing w:line="360" w:lineRule="auto"/>
                              <w:ind w:left="960" w:hanging="960" w:hangingChars="400"/>
                              <w:rPr>
                                <w:rFonts w:ascii="仿宋_GB2312" w:hAnsi="宋体" w:eastAsia="仿宋_GB2312" w:cs="宋体"/>
                              </w:rPr>
                            </w:pPr>
                            <w:r>
                              <w:rPr>
                                <w:rFonts w:hint="eastAsia" w:ascii="仿宋_GB2312" w:hAnsi="宋体" w:eastAsia="仿宋_GB2312" w:cs="宋体"/>
                              </w:rPr>
                              <w:t>地址：</w:t>
                            </w:r>
                          </w:p>
                          <w:p w14:paraId="2C9507DD">
                            <w:pPr>
                              <w:spacing w:line="360" w:lineRule="auto"/>
                              <w:ind w:left="0" w:leftChars="0" w:firstLine="0" w:firstLineChars="0"/>
                              <w:rPr>
                                <w:rFonts w:hint="eastAsia" w:ascii="仿宋_GB2312" w:hAnsi="宋体" w:eastAsia="仿宋_GB2312" w:cs="宋体"/>
                              </w:rPr>
                            </w:pPr>
                            <w:r>
                              <w:rPr>
                                <w:rFonts w:hint="eastAsia" w:ascii="仿宋_GB2312" w:hAnsi="宋体" w:eastAsia="仿宋_GB2312" w:cs="宋体"/>
                                <w:lang w:val="en-US" w:eastAsia="zh-CN"/>
                              </w:rPr>
                              <w:t>法定</w:t>
                            </w:r>
                            <w:r>
                              <w:rPr>
                                <w:rFonts w:hint="eastAsia" w:ascii="仿宋_GB2312" w:hAnsi="宋体" w:eastAsia="仿宋_GB2312" w:cs="宋体"/>
                              </w:rPr>
                              <w:t>代表人：</w:t>
                            </w:r>
                          </w:p>
                          <w:p w14:paraId="44EAC3F1">
                            <w:pPr>
                              <w:spacing w:line="360" w:lineRule="auto"/>
                              <w:ind w:left="0" w:leftChars="0" w:firstLine="0" w:firstLineChars="0"/>
                              <w:rPr>
                                <w:rFonts w:hint="eastAsia" w:ascii="仿宋_GB2312" w:hAnsi="宋体" w:eastAsia="仿宋_GB2312" w:cs="宋体"/>
                                <w:lang w:val="en-US" w:eastAsia="zh-CN"/>
                              </w:rPr>
                            </w:pPr>
                            <w:r>
                              <w:rPr>
                                <w:rFonts w:hint="eastAsia" w:ascii="仿宋_GB2312" w:hAnsi="宋体" w:eastAsia="仿宋_GB2312" w:cs="宋体"/>
                                <w:lang w:val="en-US" w:eastAsia="zh-CN"/>
                              </w:rPr>
                              <w:t>联系人：</w:t>
                            </w:r>
                          </w:p>
                          <w:p w14:paraId="652B5BBD">
                            <w:pPr>
                              <w:spacing w:line="360" w:lineRule="auto"/>
                              <w:ind w:left="0" w:leftChars="0" w:firstLine="0" w:firstLineChars="0"/>
                              <w:rPr>
                                <w:rFonts w:hint="default" w:ascii="仿宋_GB2312" w:hAnsi="宋体" w:eastAsia="仿宋_GB2312" w:cs="宋体"/>
                                <w:lang w:val="en-US" w:eastAsia="zh-CN"/>
                              </w:rPr>
                            </w:pPr>
                            <w:r>
                              <w:rPr>
                                <w:rFonts w:hint="eastAsia" w:ascii="仿宋_GB2312" w:hAnsi="宋体" w:eastAsia="仿宋_GB2312" w:cs="宋体"/>
                                <w:lang w:val="en-US" w:eastAsia="zh-CN"/>
                              </w:rPr>
                              <w:t>联系方式:</w:t>
                            </w:r>
                          </w:p>
                          <w:p w14:paraId="0504EAF3">
                            <w:pPr>
                              <w:spacing w:line="360" w:lineRule="auto"/>
                              <w:ind w:left="960" w:hanging="960" w:hangingChars="400"/>
                              <w:rPr>
                                <w:rFonts w:ascii="仿宋_GB2312" w:hAnsi="宋体" w:eastAsia="仿宋_GB2312" w:cs="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8.6pt;margin-top:21.9pt;height:153.65pt;width:207.7pt;z-index:251661312;mso-width-relative:page;mso-height-relative:page;" fillcolor="#FFFFFF" filled="t" stroked="f" coordsize="21600,21600" o:gfxdata="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uU15/ZAAAACgEAAA8AAAAAAAAAAQAgAAAAIgAAAGRycy9kb3ducmV2LnhtbFBL&#10;AQIUABQAAAAIAIdO4kD33LkfZwIAANkEAAAOAAAAAAAAAAEAIAAAACgBAABkcnMvZTJvRG9jLnht&#10;bFBLBQYAAAAABgAGAFkBAAABBgAAAAA=&#10;">
                <v:fill type="gradient" on="t" color2="#FFFFFF" angle="90" focus="100%" focussize="0,0">
                  <o:fill type="gradientUnscaled" v:ext="backwardCompatible"/>
                </v:fill>
                <v:stroke on="f"/>
                <v:imagedata o:title=""/>
                <o:lock v:ext="edit" aspectratio="f"/>
                <v:textbox>
                  <w:txbxContent>
                    <w:p w14:paraId="10EC240D">
                      <w:pPr>
                        <w:spacing w:line="360" w:lineRule="auto"/>
                        <w:ind w:left="960" w:hanging="960" w:hangingChars="400"/>
                        <w:rPr>
                          <w:rFonts w:ascii="仿宋_GB2312" w:hAnsi="宋体" w:eastAsia="仿宋_GB2312" w:cs="宋体"/>
                        </w:rPr>
                      </w:pPr>
                      <w:r>
                        <w:rPr>
                          <w:rFonts w:hint="eastAsia" w:ascii="仿宋_GB2312" w:hAnsi="宋体" w:eastAsia="仿宋_GB2312" w:cs="宋体"/>
                        </w:rPr>
                        <w:t xml:space="preserve">乙方： </w:t>
                      </w:r>
                    </w:p>
                    <w:p w14:paraId="18E10B05">
                      <w:pPr>
                        <w:spacing w:line="360" w:lineRule="auto"/>
                        <w:ind w:left="960" w:hanging="960" w:hangingChars="400"/>
                        <w:rPr>
                          <w:rFonts w:ascii="仿宋_GB2312" w:hAnsi="宋体" w:eastAsia="仿宋_GB2312" w:cs="宋体"/>
                        </w:rPr>
                      </w:pPr>
                      <w:r>
                        <w:rPr>
                          <w:rFonts w:hint="eastAsia" w:ascii="仿宋_GB2312" w:hAnsi="宋体" w:eastAsia="仿宋_GB2312" w:cs="宋体"/>
                        </w:rPr>
                        <w:t>地址：</w:t>
                      </w:r>
                    </w:p>
                    <w:p w14:paraId="2C9507DD">
                      <w:pPr>
                        <w:spacing w:line="360" w:lineRule="auto"/>
                        <w:ind w:left="0" w:leftChars="0" w:firstLine="0" w:firstLineChars="0"/>
                        <w:rPr>
                          <w:rFonts w:hint="eastAsia" w:ascii="仿宋_GB2312" w:hAnsi="宋体" w:eastAsia="仿宋_GB2312" w:cs="宋体"/>
                        </w:rPr>
                      </w:pPr>
                      <w:r>
                        <w:rPr>
                          <w:rFonts w:hint="eastAsia" w:ascii="仿宋_GB2312" w:hAnsi="宋体" w:eastAsia="仿宋_GB2312" w:cs="宋体"/>
                          <w:lang w:val="en-US" w:eastAsia="zh-CN"/>
                        </w:rPr>
                        <w:t>法定</w:t>
                      </w:r>
                      <w:r>
                        <w:rPr>
                          <w:rFonts w:hint="eastAsia" w:ascii="仿宋_GB2312" w:hAnsi="宋体" w:eastAsia="仿宋_GB2312" w:cs="宋体"/>
                        </w:rPr>
                        <w:t>代表人：</w:t>
                      </w:r>
                    </w:p>
                    <w:p w14:paraId="44EAC3F1">
                      <w:pPr>
                        <w:spacing w:line="360" w:lineRule="auto"/>
                        <w:ind w:left="0" w:leftChars="0" w:firstLine="0" w:firstLineChars="0"/>
                        <w:rPr>
                          <w:rFonts w:hint="eastAsia" w:ascii="仿宋_GB2312" w:hAnsi="宋体" w:eastAsia="仿宋_GB2312" w:cs="宋体"/>
                          <w:lang w:val="en-US" w:eastAsia="zh-CN"/>
                        </w:rPr>
                      </w:pPr>
                      <w:r>
                        <w:rPr>
                          <w:rFonts w:hint="eastAsia" w:ascii="仿宋_GB2312" w:hAnsi="宋体" w:eastAsia="仿宋_GB2312" w:cs="宋体"/>
                          <w:lang w:val="en-US" w:eastAsia="zh-CN"/>
                        </w:rPr>
                        <w:t>联系人：</w:t>
                      </w:r>
                    </w:p>
                    <w:p w14:paraId="652B5BBD">
                      <w:pPr>
                        <w:spacing w:line="360" w:lineRule="auto"/>
                        <w:ind w:left="0" w:leftChars="0" w:firstLine="0" w:firstLineChars="0"/>
                        <w:rPr>
                          <w:rFonts w:hint="default" w:ascii="仿宋_GB2312" w:hAnsi="宋体" w:eastAsia="仿宋_GB2312" w:cs="宋体"/>
                          <w:lang w:val="en-US" w:eastAsia="zh-CN"/>
                        </w:rPr>
                      </w:pPr>
                      <w:r>
                        <w:rPr>
                          <w:rFonts w:hint="eastAsia" w:ascii="仿宋_GB2312" w:hAnsi="宋体" w:eastAsia="仿宋_GB2312" w:cs="宋体"/>
                          <w:lang w:val="en-US" w:eastAsia="zh-CN"/>
                        </w:rPr>
                        <w:t>联系方式:</w:t>
                      </w:r>
                    </w:p>
                    <w:p w14:paraId="0504EAF3">
                      <w:pPr>
                        <w:spacing w:line="360" w:lineRule="auto"/>
                        <w:ind w:left="960" w:hanging="960" w:hangingChars="400"/>
                        <w:rPr>
                          <w:rFonts w:ascii="仿宋_GB2312" w:hAnsi="宋体" w:eastAsia="仿宋_GB2312" w:cs="宋体"/>
                        </w:rPr>
                      </w:pP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62336" behindDoc="0" locked="0" layoutInCell="1" allowOverlap="1">
                <wp:simplePos x="0" y="0"/>
                <wp:positionH relativeFrom="column">
                  <wp:posOffset>-567690</wp:posOffset>
                </wp:positionH>
                <wp:positionV relativeFrom="paragraph">
                  <wp:posOffset>282575</wp:posOffset>
                </wp:positionV>
                <wp:extent cx="3339465" cy="1828800"/>
                <wp:effectExtent l="0" t="0" r="133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339465" cy="1828800"/>
                        </a:xfrm>
                        <a:prstGeom prst="rect">
                          <a:avLst/>
                        </a:prstGeom>
                        <a:gradFill rotWithShape="0">
                          <a:gsLst>
                            <a:gs pos="0">
                              <a:srgbClr val="FFFFFF"/>
                            </a:gs>
                            <a:gs pos="100000">
                              <a:srgbClr val="FFFFFF"/>
                            </a:gs>
                          </a:gsLst>
                          <a:lin ang="0"/>
                        </a:gradFill>
                        <a:ln>
                          <a:noFill/>
                        </a:ln>
                        <a:effectLst/>
                      </wps:spPr>
                      <wps:txbx>
                        <w:txbxContent>
                          <w:p w14:paraId="67216F95">
                            <w:pPr>
                              <w:spacing w:line="300" w:lineRule="exact"/>
                              <w:ind w:firstLine="480"/>
                              <w:jc w:val="left"/>
                              <w:rPr>
                                <w:rFonts w:ascii="仿宋_GB2312" w:hAnsi="宋体" w:eastAsia="仿宋_GB2312" w:cs="宋体"/>
                                <w:szCs w:val="24"/>
                                <w:u w:val="single"/>
                              </w:rPr>
                            </w:pPr>
                            <w:r>
                              <w:rPr>
                                <w:rFonts w:hint="eastAsia" w:ascii="仿宋_GB2312" w:hAnsi="宋体" w:eastAsia="仿宋_GB2312" w:cs="宋体"/>
                              </w:rPr>
                              <w:t>甲  方：</w:t>
                            </w:r>
                            <w:r>
                              <w:rPr>
                                <w:rFonts w:hint="eastAsia" w:ascii="仿宋_GB2312" w:hAnsi="Calibri" w:eastAsia="仿宋_GB2312" w:cs="Times New Roman"/>
                                <w:szCs w:val="24"/>
                              </w:rPr>
                              <w:t>深圳书城龙华城实业有限公司</w:t>
                            </w:r>
                          </w:p>
                          <w:p w14:paraId="08BDB906">
                            <w:pPr>
                              <w:spacing w:line="300" w:lineRule="exact"/>
                              <w:ind w:firstLine="480"/>
                              <w:jc w:val="left"/>
                              <w:rPr>
                                <w:rFonts w:ascii="仿宋_GB2312" w:hAnsi="宋体" w:eastAsia="仿宋_GB2312" w:cs="宋体"/>
                              </w:rPr>
                            </w:pPr>
                            <w:r>
                              <w:rPr>
                                <w:rFonts w:hint="eastAsia" w:ascii="仿宋_GB2312" w:hAnsi="宋体" w:eastAsia="仿宋_GB2312" w:cs="宋体"/>
                              </w:rPr>
                              <w:t>地  址：</w:t>
                            </w:r>
                            <w:r>
                              <w:rPr>
                                <w:rFonts w:hint="eastAsia" w:ascii="仿宋_GB2312" w:hAnsi="宋体" w:eastAsia="仿宋_GB2312" w:cs="宋体"/>
                                <w:szCs w:val="24"/>
                              </w:rPr>
                              <w:t>深圳市龙华区龙华大道4189号深圳书城龙华城负2层至7层</w:t>
                            </w:r>
                          </w:p>
                          <w:p w14:paraId="5CC04AF0">
                            <w:pPr>
                              <w:spacing w:line="360" w:lineRule="auto"/>
                              <w:ind w:firstLine="480"/>
                              <w:rPr>
                                <w:rFonts w:hint="eastAsia" w:ascii="仿宋_GB2312" w:hAnsi="宋体" w:eastAsia="仿宋_GB2312" w:cs="宋体"/>
                              </w:rPr>
                            </w:pPr>
                            <w:r>
                              <w:rPr>
                                <w:rFonts w:hint="eastAsia" w:ascii="仿宋_GB2312" w:hAnsi="宋体" w:eastAsia="仿宋_GB2312" w:cs="宋体"/>
                                <w:lang w:val="en-US" w:eastAsia="zh-CN"/>
                              </w:rPr>
                              <w:t>法定</w:t>
                            </w:r>
                            <w:r>
                              <w:rPr>
                                <w:rFonts w:hint="eastAsia" w:ascii="仿宋_GB2312" w:hAnsi="宋体" w:eastAsia="仿宋_GB2312" w:cs="宋体"/>
                              </w:rPr>
                              <w:t>代表人：</w:t>
                            </w:r>
                          </w:p>
                          <w:p w14:paraId="2CA5334B">
                            <w:pPr>
                              <w:spacing w:line="360" w:lineRule="auto"/>
                              <w:ind w:firstLine="480"/>
                              <w:rPr>
                                <w:rFonts w:hint="eastAsia" w:ascii="仿宋_GB2312" w:hAnsi="宋体" w:eastAsia="仿宋_GB2312" w:cs="宋体"/>
                                <w:lang w:val="en-US" w:eastAsia="zh-CN"/>
                              </w:rPr>
                            </w:pPr>
                            <w:r>
                              <w:rPr>
                                <w:rFonts w:hint="eastAsia" w:ascii="仿宋_GB2312" w:hAnsi="宋体" w:eastAsia="仿宋_GB2312" w:cs="宋体"/>
                                <w:lang w:val="en-US" w:eastAsia="zh-CN"/>
                              </w:rPr>
                              <w:t>联系人：</w:t>
                            </w:r>
                          </w:p>
                          <w:p w14:paraId="2783E748">
                            <w:pPr>
                              <w:spacing w:line="360" w:lineRule="auto"/>
                              <w:ind w:firstLine="480"/>
                              <w:rPr>
                                <w:rFonts w:hint="default" w:ascii="仿宋_GB2312" w:hAnsi="宋体" w:eastAsia="仿宋_GB2312" w:cs="宋体"/>
                                <w:lang w:val="en-US" w:eastAsia="zh-CN"/>
                              </w:rPr>
                            </w:pPr>
                            <w:r>
                              <w:rPr>
                                <w:rFonts w:hint="eastAsia" w:ascii="仿宋_GB2312" w:hAnsi="宋体" w:eastAsia="仿宋_GB2312" w:cs="宋体"/>
                                <w:lang w:val="en-US" w:eastAsia="zh-CN"/>
                              </w:rPr>
                              <w:t>联系方式: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7pt;margin-top:22.25pt;height:144pt;width:262.95pt;z-index:251662336;mso-width-relative:page;mso-height-relative:page;" fillcolor="#FFFFFF" filled="t" stroked="f" coordsize="21600,21600" o:gfxdata="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jGquDaAAAACgEAAA8AAAAAAAAAAQAgAAAAIgAAAGRycy9kb3ducmV2LnhtbFBLAQIUABQA&#10;AAAIAIdO4kD3QzfSYAIAAMcEAAAOAAAAAAAAAAEAIAAAACkBAABkcnMvZTJvRG9jLnhtbFBLBQYA&#10;AAAABgAGAFkBAAD7BQAAAAA=&#10;">
                <v:fill type="gradient" on="t" color2="#FFFFFF" angle="90" focus="100%" focussize="0,0">
                  <o:fill type="gradientUnscaled" v:ext="backwardCompatible"/>
                </v:fill>
                <v:stroke on="f"/>
                <v:imagedata o:title=""/>
                <o:lock v:ext="edit" aspectratio="f"/>
                <v:textbox>
                  <w:txbxContent>
                    <w:p w14:paraId="67216F95">
                      <w:pPr>
                        <w:spacing w:line="300" w:lineRule="exact"/>
                        <w:ind w:firstLine="480"/>
                        <w:jc w:val="left"/>
                        <w:rPr>
                          <w:rFonts w:ascii="仿宋_GB2312" w:hAnsi="宋体" w:eastAsia="仿宋_GB2312" w:cs="宋体"/>
                          <w:szCs w:val="24"/>
                          <w:u w:val="single"/>
                        </w:rPr>
                      </w:pPr>
                      <w:r>
                        <w:rPr>
                          <w:rFonts w:hint="eastAsia" w:ascii="仿宋_GB2312" w:hAnsi="宋体" w:eastAsia="仿宋_GB2312" w:cs="宋体"/>
                        </w:rPr>
                        <w:t>甲  方：</w:t>
                      </w:r>
                      <w:r>
                        <w:rPr>
                          <w:rFonts w:hint="eastAsia" w:ascii="仿宋_GB2312" w:hAnsi="Calibri" w:eastAsia="仿宋_GB2312" w:cs="Times New Roman"/>
                          <w:szCs w:val="24"/>
                        </w:rPr>
                        <w:t>深圳书城龙华城实业有限公司</w:t>
                      </w:r>
                    </w:p>
                    <w:p w14:paraId="08BDB906">
                      <w:pPr>
                        <w:spacing w:line="300" w:lineRule="exact"/>
                        <w:ind w:firstLine="480"/>
                        <w:jc w:val="left"/>
                        <w:rPr>
                          <w:rFonts w:ascii="仿宋_GB2312" w:hAnsi="宋体" w:eastAsia="仿宋_GB2312" w:cs="宋体"/>
                        </w:rPr>
                      </w:pPr>
                      <w:r>
                        <w:rPr>
                          <w:rFonts w:hint="eastAsia" w:ascii="仿宋_GB2312" w:hAnsi="宋体" w:eastAsia="仿宋_GB2312" w:cs="宋体"/>
                        </w:rPr>
                        <w:t>地  址：</w:t>
                      </w:r>
                      <w:r>
                        <w:rPr>
                          <w:rFonts w:hint="eastAsia" w:ascii="仿宋_GB2312" w:hAnsi="宋体" w:eastAsia="仿宋_GB2312" w:cs="宋体"/>
                          <w:szCs w:val="24"/>
                        </w:rPr>
                        <w:t>深圳市龙华区龙华大道4189号深圳书城龙华城负2层至7层</w:t>
                      </w:r>
                    </w:p>
                    <w:p w14:paraId="5CC04AF0">
                      <w:pPr>
                        <w:spacing w:line="360" w:lineRule="auto"/>
                        <w:ind w:firstLine="480"/>
                        <w:rPr>
                          <w:rFonts w:hint="eastAsia" w:ascii="仿宋_GB2312" w:hAnsi="宋体" w:eastAsia="仿宋_GB2312" w:cs="宋体"/>
                        </w:rPr>
                      </w:pPr>
                      <w:r>
                        <w:rPr>
                          <w:rFonts w:hint="eastAsia" w:ascii="仿宋_GB2312" w:hAnsi="宋体" w:eastAsia="仿宋_GB2312" w:cs="宋体"/>
                          <w:lang w:val="en-US" w:eastAsia="zh-CN"/>
                        </w:rPr>
                        <w:t>法定</w:t>
                      </w:r>
                      <w:r>
                        <w:rPr>
                          <w:rFonts w:hint="eastAsia" w:ascii="仿宋_GB2312" w:hAnsi="宋体" w:eastAsia="仿宋_GB2312" w:cs="宋体"/>
                        </w:rPr>
                        <w:t>代表人：</w:t>
                      </w:r>
                    </w:p>
                    <w:p w14:paraId="2CA5334B">
                      <w:pPr>
                        <w:spacing w:line="360" w:lineRule="auto"/>
                        <w:ind w:firstLine="480"/>
                        <w:rPr>
                          <w:rFonts w:hint="eastAsia" w:ascii="仿宋_GB2312" w:hAnsi="宋体" w:eastAsia="仿宋_GB2312" w:cs="宋体"/>
                          <w:lang w:val="en-US" w:eastAsia="zh-CN"/>
                        </w:rPr>
                      </w:pPr>
                      <w:r>
                        <w:rPr>
                          <w:rFonts w:hint="eastAsia" w:ascii="仿宋_GB2312" w:hAnsi="宋体" w:eastAsia="仿宋_GB2312" w:cs="宋体"/>
                          <w:lang w:val="en-US" w:eastAsia="zh-CN"/>
                        </w:rPr>
                        <w:t>联系人：</w:t>
                      </w:r>
                    </w:p>
                    <w:p w14:paraId="2783E748">
                      <w:pPr>
                        <w:spacing w:line="360" w:lineRule="auto"/>
                        <w:ind w:firstLine="480"/>
                        <w:rPr>
                          <w:rFonts w:hint="default" w:ascii="仿宋_GB2312" w:hAnsi="宋体" w:eastAsia="仿宋_GB2312" w:cs="宋体"/>
                          <w:lang w:val="en-US" w:eastAsia="zh-CN"/>
                        </w:rPr>
                      </w:pPr>
                      <w:r>
                        <w:rPr>
                          <w:rFonts w:hint="eastAsia" w:ascii="仿宋_GB2312" w:hAnsi="宋体" w:eastAsia="仿宋_GB2312" w:cs="宋体"/>
                          <w:lang w:val="en-US" w:eastAsia="zh-CN"/>
                        </w:rPr>
                        <w:t>联系方式:</w:t>
                      </w:r>
                    </w:p>
                  </w:txbxContent>
                </v:textbox>
              </v:shape>
            </w:pict>
          </mc:Fallback>
        </mc:AlternateContent>
      </w:r>
    </w:p>
    <w:p w14:paraId="44476FD9">
      <w:pPr>
        <w:ind w:firstLine="482"/>
        <w:rPr>
          <w:rFonts w:ascii="宋体" w:hAnsi="宋体" w:cs="宋体"/>
          <w:b/>
          <w:szCs w:val="24"/>
        </w:rPr>
      </w:pPr>
    </w:p>
    <w:p w14:paraId="76CDED95">
      <w:pPr>
        <w:ind w:firstLine="482"/>
        <w:rPr>
          <w:rFonts w:ascii="宋体" w:hAnsi="宋体" w:cs="宋体"/>
          <w:b/>
          <w:szCs w:val="24"/>
        </w:rPr>
      </w:pPr>
    </w:p>
    <w:p w14:paraId="30318E79">
      <w:pPr>
        <w:ind w:firstLine="0" w:firstLineChars="0"/>
        <w:rPr>
          <w:rFonts w:ascii="宋体" w:hAnsi="宋体" w:cs="宋体"/>
          <w:b/>
          <w:szCs w:val="24"/>
        </w:rPr>
      </w:pPr>
    </w:p>
    <w:p w14:paraId="0BB2CF11">
      <w:pPr>
        <w:spacing w:line="360" w:lineRule="auto"/>
        <w:ind w:firstLine="0" w:firstLineChars="0"/>
        <w:rPr>
          <w:rFonts w:ascii="仿宋_GB2312" w:hAnsi="宋体" w:eastAsia="仿宋_GB2312" w:cs="宋体"/>
          <w:szCs w:val="24"/>
        </w:rPr>
      </w:pPr>
    </w:p>
    <w:p w14:paraId="14A87641">
      <w:pPr>
        <w:spacing w:line="360" w:lineRule="auto"/>
        <w:ind w:firstLine="480"/>
        <w:rPr>
          <w:rFonts w:hint="eastAsia" w:ascii="仿宋_GB2312" w:hAnsi="宋体" w:eastAsia="仿宋_GB2312" w:cs="宋体"/>
          <w:color w:val="000000"/>
          <w:kern w:val="0"/>
          <w:szCs w:val="24"/>
        </w:rPr>
      </w:pPr>
    </w:p>
    <w:p w14:paraId="7E173DD6">
      <w:pPr>
        <w:spacing w:line="360" w:lineRule="auto"/>
        <w:ind w:firstLine="480"/>
        <w:rPr>
          <w:rFonts w:hint="eastAsia" w:ascii="仿宋_GB2312" w:hAnsi="宋体" w:eastAsia="仿宋_GB2312" w:cs="宋体"/>
          <w:color w:val="000000"/>
          <w:kern w:val="0"/>
          <w:szCs w:val="24"/>
        </w:rPr>
      </w:pPr>
    </w:p>
    <w:p w14:paraId="57D4066C">
      <w:pPr>
        <w:spacing w:line="360" w:lineRule="auto"/>
        <w:ind w:firstLine="48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甲乙双方经友好协商，根据《中华人民共和国民法典》的有关规定，秉持公平、公正、互惠互利的原则</w:t>
      </w:r>
      <w:r>
        <w:rPr>
          <w:rFonts w:hint="eastAsia" w:ascii="仿宋_GB2312" w:hAnsi="宋体" w:eastAsia="仿宋_GB2312" w:cs="宋体"/>
          <w:bCs/>
          <w:color w:val="000000"/>
          <w:szCs w:val="24"/>
        </w:rPr>
        <w:t>，就甲方委托乙方</w:t>
      </w:r>
      <w:r>
        <w:rPr>
          <w:rFonts w:hint="eastAsia" w:ascii="仿宋_GB2312" w:hAnsi="宋体" w:eastAsia="仿宋_GB2312" w:cs="宋体"/>
          <w:bCs/>
          <w:color w:val="000000"/>
          <w:szCs w:val="24"/>
          <w:lang w:val="en-US" w:eastAsia="zh-CN"/>
        </w:rPr>
        <w:t>电梯维保</w:t>
      </w:r>
      <w:r>
        <w:rPr>
          <w:rFonts w:hint="eastAsia" w:ascii="仿宋_GB2312" w:hAnsi="宋体" w:eastAsia="仿宋_GB2312" w:cs="宋体"/>
          <w:bCs/>
          <w:color w:val="000000"/>
          <w:szCs w:val="24"/>
        </w:rPr>
        <w:t>项目相关工作</w:t>
      </w:r>
      <w:r>
        <w:rPr>
          <w:rFonts w:hint="eastAsia" w:ascii="仿宋_GB2312" w:hAnsi="宋体" w:eastAsia="仿宋_GB2312" w:cs="宋体"/>
          <w:color w:val="000000"/>
          <w:kern w:val="0"/>
          <w:szCs w:val="24"/>
        </w:rPr>
        <w:t>，达成以下协议：</w:t>
      </w:r>
    </w:p>
    <w:p w14:paraId="774246B3">
      <w:pPr>
        <w:spacing w:line="38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为贯彻“安全生产，预防为主”的方针，保证电梯功能正常，保障电梯安全可靠运行，防止事故发生，依照《中华人民共和国民法典》、《中华人民共和国特种设备安全法》《特种设备安全监察条例》、</w:t>
      </w:r>
      <w:r>
        <w:rPr>
          <w:rFonts w:hint="eastAsia" w:ascii="仿宋_GB2312" w:hAnsi="宋体" w:eastAsia="仿宋_GB2312"/>
          <w:kern w:val="0"/>
          <w:sz w:val="24"/>
          <w:szCs w:val="24"/>
        </w:rPr>
        <w:t>《</w:t>
      </w:r>
      <w:r>
        <w:rPr>
          <w:rFonts w:hint="eastAsia" w:ascii="仿宋_GB2312" w:hAnsi="宋体" w:eastAsia="仿宋_GB2312" w:cs="宋体"/>
          <w:kern w:val="0"/>
          <w:sz w:val="24"/>
          <w:szCs w:val="24"/>
        </w:rPr>
        <w:t>电梯使用管理与维护保养规则</w:t>
      </w:r>
      <w:r>
        <w:rPr>
          <w:rFonts w:hint="eastAsia" w:ascii="仿宋_GB2312" w:hAnsi="宋体" w:eastAsia="仿宋_GB2312"/>
          <w:kern w:val="0"/>
          <w:sz w:val="24"/>
          <w:szCs w:val="24"/>
        </w:rPr>
        <w:t>》（TSG T500</w:t>
      </w:r>
      <w:r>
        <w:rPr>
          <w:rFonts w:hint="eastAsia" w:ascii="仿宋_GB2312" w:hAnsi="宋体" w:eastAsia="仿宋_GB2312"/>
          <w:kern w:val="0"/>
          <w:sz w:val="24"/>
          <w:szCs w:val="24"/>
          <w:lang w:val="en-US" w:eastAsia="zh-CN"/>
        </w:rPr>
        <w:t>2</w:t>
      </w:r>
      <w:r>
        <w:rPr>
          <w:rFonts w:hint="eastAsia" w:ascii="仿宋_GB2312" w:hAnsi="宋体" w:eastAsia="仿宋_GB2312"/>
          <w:kern w:val="0"/>
          <w:sz w:val="24"/>
          <w:szCs w:val="24"/>
        </w:rPr>
        <w:t>-2017）等规定</w:t>
      </w:r>
      <w:r>
        <w:rPr>
          <w:rFonts w:hint="eastAsia" w:ascii="仿宋_GB2312" w:hAnsi="宋体" w:eastAsia="仿宋_GB2312" w:cs="宋体"/>
          <w:kern w:val="0"/>
          <w:sz w:val="24"/>
          <w:szCs w:val="24"/>
        </w:rPr>
        <w:t>，遵循平等、自愿、公平和诚实信用的原则，经甲乙双方协商订立本合同。</w:t>
      </w:r>
    </w:p>
    <w:p w14:paraId="7160231E">
      <w:pPr>
        <w:spacing w:line="380" w:lineRule="exact"/>
        <w:ind w:left="1" w:firstLine="482" w:firstLineChars="200"/>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第一条</w:t>
      </w:r>
      <w:r>
        <w:rPr>
          <w:rFonts w:ascii="仿宋_GB2312" w:hAnsi="宋体" w:eastAsia="仿宋_GB2312" w:cs="宋体"/>
          <w:b/>
          <w:kern w:val="0"/>
          <w:sz w:val="24"/>
          <w:szCs w:val="24"/>
        </w:rPr>
        <w:t xml:space="preserve"> </w:t>
      </w:r>
      <w:r>
        <w:rPr>
          <w:rFonts w:hint="eastAsia" w:ascii="仿宋_GB2312" w:hAnsi="宋体" w:eastAsia="仿宋_GB2312" w:cs="宋体"/>
          <w:kern w:val="0"/>
          <w:sz w:val="24"/>
          <w:szCs w:val="24"/>
        </w:rPr>
        <w:t>乙方为本合同列明的电梯提供：</w:t>
      </w:r>
      <w:r>
        <w:rPr>
          <w:rFonts w:hint="eastAsia" w:ascii="仿宋_GB2312" w:hAnsi="宋体" w:eastAsia="仿宋_GB2312" w:cs="宋体"/>
          <w:kern w:val="0"/>
          <w:sz w:val="24"/>
          <w:szCs w:val="24"/>
          <w:u w:val="single"/>
        </w:rPr>
        <w:t>日常维保和紧急救援、紧急故障抢修服务。</w:t>
      </w:r>
      <w:r>
        <w:rPr>
          <w:rFonts w:hint="eastAsia" w:ascii="仿宋_GB2312" w:hAnsi="宋体" w:eastAsia="仿宋_GB2312" w:cs="宋体"/>
          <w:kern w:val="0"/>
          <w:sz w:val="24"/>
          <w:szCs w:val="24"/>
        </w:rPr>
        <w:t>保养项目应覆盖《电梯使用管理与维护保养规则》（TSG T500</w:t>
      </w:r>
      <w:r>
        <w:rPr>
          <w:rFonts w:hint="eastAsia" w:ascii="仿宋_GB2312" w:hAnsi="宋体" w:eastAsia="仿宋_GB2312" w:cs="宋体"/>
          <w:kern w:val="0"/>
          <w:sz w:val="24"/>
          <w:szCs w:val="24"/>
          <w:lang w:val="en-US" w:eastAsia="zh-CN"/>
        </w:rPr>
        <w:t>2</w:t>
      </w:r>
      <w:r>
        <w:rPr>
          <w:rFonts w:hint="eastAsia" w:ascii="仿宋_GB2312" w:hAnsi="宋体" w:eastAsia="仿宋_GB2312" w:cs="宋体"/>
          <w:kern w:val="0"/>
          <w:sz w:val="24"/>
          <w:szCs w:val="24"/>
        </w:rPr>
        <w:t>-2017）规定的半月、季度、半年、年度保养项目，及电梯制造单位技术文件所要求的其它保养项目。</w:t>
      </w:r>
    </w:p>
    <w:p w14:paraId="58314BD6">
      <w:pPr>
        <w:spacing w:line="380" w:lineRule="exact"/>
        <w:ind w:firstLine="482" w:firstLineChars="200"/>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第二条</w:t>
      </w:r>
      <w:r>
        <w:rPr>
          <w:rFonts w:ascii="仿宋_GB2312" w:hAnsi="宋体" w:eastAsia="仿宋_GB2312" w:cs="宋体"/>
          <w:b/>
          <w:kern w:val="0"/>
          <w:sz w:val="24"/>
          <w:szCs w:val="24"/>
        </w:rPr>
        <w:t xml:space="preserve"> </w:t>
      </w:r>
      <w:r>
        <w:rPr>
          <w:rFonts w:hint="eastAsia" w:ascii="仿宋_GB2312" w:hAnsi="宋体" w:eastAsia="仿宋_GB2312" w:cs="宋体"/>
          <w:kern w:val="0"/>
          <w:sz w:val="24"/>
          <w:szCs w:val="24"/>
        </w:rPr>
        <w:t>保养地点及涉及电梯的电梯出厂编号：</w:t>
      </w:r>
    </w:p>
    <w:p w14:paraId="7FE507A9">
      <w:pPr>
        <w:spacing w:line="380" w:lineRule="exact"/>
        <w:ind w:left="175" w:leftChars="73" w:firstLine="480" w:firstLineChars="200"/>
        <w:rPr>
          <w:rFonts w:ascii="仿宋_GB2312" w:hAnsi="宋体" w:eastAsia="仿宋_GB2312" w:cs="宋体"/>
          <w:kern w:val="0"/>
          <w:sz w:val="24"/>
          <w:szCs w:val="24"/>
          <w:u w:val="single"/>
        </w:rPr>
      </w:pPr>
      <w:r>
        <w:rPr>
          <w:rFonts w:hint="eastAsia" w:ascii="仿宋_GB2312" w:hAnsi="宋体" w:eastAsia="仿宋_GB2312" w:cs="宋体"/>
          <w:color w:val="000000"/>
          <w:kern w:val="0"/>
          <w:sz w:val="24"/>
          <w:szCs w:val="24"/>
        </w:rPr>
        <w:t>设备保养</w:t>
      </w:r>
      <w:r>
        <w:rPr>
          <w:rFonts w:hint="eastAsia" w:ascii="仿宋_GB2312" w:hAnsi="宋体" w:eastAsia="仿宋_GB2312" w:cs="宋体"/>
          <w:kern w:val="0"/>
          <w:sz w:val="24"/>
          <w:szCs w:val="24"/>
        </w:rPr>
        <w:t>地点位于</w:t>
      </w:r>
      <w:r>
        <w:rPr>
          <w:rFonts w:ascii="仿宋_GB2312" w:hAnsi="宋体" w:eastAsia="仿宋_GB2312" w:cs="宋体"/>
          <w:kern w:val="0"/>
          <w:sz w:val="24"/>
          <w:szCs w:val="24"/>
        </w:rPr>
        <w:t>广东省深圳市龙华区龙华街道</w:t>
      </w:r>
      <w:r>
        <w:rPr>
          <w:rFonts w:hint="eastAsia" w:ascii="仿宋_GB2312" w:hAnsi="宋体" w:eastAsia="仿宋_GB2312" w:cs="宋体"/>
          <w:kern w:val="0"/>
          <w:sz w:val="24"/>
          <w:szCs w:val="24"/>
        </w:rPr>
        <w:t>4189号深圳书城龙华城负2层至7层。</w:t>
      </w:r>
    </w:p>
    <w:p w14:paraId="7F5555F2">
      <w:pPr>
        <w:spacing w:line="380" w:lineRule="exact"/>
        <w:ind w:left="175" w:leftChars="7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本合同所涉及电梯的电梯出厂编号：</w:t>
      </w:r>
    </w:p>
    <w:p w14:paraId="337A2A50">
      <w:pPr>
        <w:widowControl/>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33104403002019020091、33104403002019020092、33104403002019020093</w:t>
      </w:r>
    </w:p>
    <w:p w14:paraId="72739F14">
      <w:pPr>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33104403002019020094、33104403002019020095、33104403002019020096</w:t>
      </w:r>
    </w:p>
    <w:p w14:paraId="2F45B779">
      <w:pPr>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33104403002019020097、33104403002019020098、33104403002019020099</w:t>
      </w:r>
    </w:p>
    <w:p w14:paraId="2D3D9486">
      <w:pPr>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33104403002019020100、33104403002019020101、33104403002019020102</w:t>
      </w:r>
    </w:p>
    <w:p w14:paraId="2C42DBEE">
      <w:pPr>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33104403002019020103、33104403002019020104、33104403002019020105</w:t>
      </w:r>
    </w:p>
    <w:p w14:paraId="24342A2F">
      <w:pPr>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33104403002019020106、31104403002019021050、31104403002019021051</w:t>
      </w:r>
    </w:p>
    <w:p w14:paraId="31286245">
      <w:pPr>
        <w:spacing w:line="56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31104403002019021052、31104403002019020695、31104403002019020696</w:t>
      </w:r>
    </w:p>
    <w:p w14:paraId="24857B3E">
      <w:pPr>
        <w:spacing w:line="560" w:lineRule="exact"/>
        <w:jc w:val="left"/>
        <w:rPr>
          <w:rFonts w:hint="eastAsia" w:ascii="仿宋_GB2312" w:hAnsi="宋体" w:eastAsia="仿宋_GB2312" w:cs="宋体"/>
          <w:kern w:val="0"/>
          <w:sz w:val="24"/>
          <w:szCs w:val="24"/>
          <w:u w:val="single"/>
        </w:rPr>
      </w:pPr>
      <w:r>
        <w:rPr>
          <w:rFonts w:hint="eastAsia" w:ascii="仿宋_GB2312" w:hAnsi="仿宋_GB2312" w:eastAsia="仿宋_GB2312" w:cs="仿宋_GB2312"/>
          <w:sz w:val="24"/>
          <w:szCs w:val="24"/>
          <w:u w:val="single"/>
        </w:rPr>
        <w:t>31104403002019020697、31104403002019020698</w:t>
      </w:r>
      <w:r>
        <w:rPr>
          <w:rFonts w:hint="eastAsia" w:ascii="仿宋_GB2312" w:hAnsi="宋体" w:eastAsia="仿宋_GB2312" w:cs="宋体"/>
          <w:kern w:val="0"/>
          <w:sz w:val="24"/>
          <w:szCs w:val="24"/>
        </w:rPr>
        <w:t>共计</w:t>
      </w:r>
      <w:r>
        <w:rPr>
          <w:rFonts w:hint="eastAsia" w:ascii="仿宋_GB2312" w:hAnsi="宋体" w:eastAsia="仿宋_GB2312" w:cs="宋体"/>
          <w:kern w:val="0"/>
          <w:sz w:val="24"/>
          <w:szCs w:val="24"/>
          <w:u w:val="single"/>
        </w:rPr>
        <w:t xml:space="preserve"> 23</w:t>
      </w:r>
      <w:r>
        <w:rPr>
          <w:rFonts w:hint="eastAsia" w:ascii="仿宋_GB2312" w:hAnsi="宋体" w:eastAsia="仿宋_GB2312" w:cs="宋体"/>
          <w:kern w:val="0"/>
          <w:sz w:val="24"/>
          <w:szCs w:val="24"/>
        </w:rPr>
        <w:t>台。</w:t>
      </w:r>
    </w:p>
    <w:p w14:paraId="0141CC63">
      <w:pPr>
        <w:spacing w:line="380" w:lineRule="exact"/>
        <w:ind w:left="1" w:firstLine="479" w:firstLineChars="199"/>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第三条</w:t>
      </w:r>
      <w:r>
        <w:rPr>
          <w:rFonts w:ascii="仿宋_GB2312" w:hAnsi="宋体" w:eastAsia="仿宋_GB2312" w:cs="宋体"/>
          <w:b/>
          <w:kern w:val="0"/>
          <w:sz w:val="24"/>
          <w:szCs w:val="24"/>
        </w:rPr>
        <w:t xml:space="preserve"> </w:t>
      </w:r>
      <w:r>
        <w:rPr>
          <w:rFonts w:hint="eastAsia" w:ascii="仿宋_GB2312" w:hAnsi="宋体" w:eastAsia="仿宋_GB2312" w:cs="宋体"/>
          <w:kern w:val="0"/>
          <w:sz w:val="24"/>
          <w:szCs w:val="24"/>
        </w:rPr>
        <w:t>乙方提供维保所需工具和劳务，并免费提供市场单价在人民币</w:t>
      </w:r>
      <w:r>
        <w:rPr>
          <w:rFonts w:hint="eastAsia" w:ascii="仿宋_GB2312" w:hAnsi="宋体" w:eastAsia="仿宋_GB2312" w:cs="宋体"/>
          <w:kern w:val="0"/>
          <w:sz w:val="24"/>
          <w:szCs w:val="24"/>
          <w:u w:val="single"/>
        </w:rPr>
        <w:t xml:space="preserve"> 300 </w:t>
      </w:r>
      <w:r>
        <w:rPr>
          <w:rFonts w:hint="eastAsia" w:ascii="仿宋_GB2312" w:hAnsi="宋体" w:eastAsia="仿宋_GB2312" w:cs="宋体"/>
          <w:kern w:val="0"/>
          <w:sz w:val="24"/>
          <w:szCs w:val="24"/>
        </w:rPr>
        <w:t>元（含3</w:t>
      </w:r>
      <w:r>
        <w:rPr>
          <w:rFonts w:ascii="仿宋_GB2312" w:hAnsi="宋体" w:eastAsia="仿宋_GB2312" w:cs="宋体"/>
          <w:kern w:val="0"/>
          <w:sz w:val="24"/>
          <w:szCs w:val="24"/>
        </w:rPr>
        <w:t>00元</w:t>
      </w:r>
      <w:r>
        <w:rPr>
          <w:rFonts w:hint="eastAsia" w:ascii="仿宋_GB2312" w:hAnsi="宋体" w:eastAsia="仿宋_GB2312" w:cs="宋体"/>
          <w:kern w:val="0"/>
          <w:sz w:val="24"/>
          <w:szCs w:val="24"/>
        </w:rPr>
        <w:t>）以下电梯零部件。</w:t>
      </w:r>
    </w:p>
    <w:p w14:paraId="602AB922">
      <w:pPr>
        <w:spacing w:line="380" w:lineRule="exact"/>
        <w:ind w:left="1" w:firstLine="477" w:firstLineChars="199"/>
        <w:rPr>
          <w:rFonts w:hint="eastAsia" w:ascii="仿宋_GB2312" w:hAnsi="宋体" w:eastAsia="仿宋_GB2312" w:cs="ËÎÌå"/>
          <w:kern w:val="0"/>
          <w:sz w:val="24"/>
          <w:szCs w:val="24"/>
        </w:rPr>
      </w:pPr>
      <w:r>
        <w:rPr>
          <w:rFonts w:hint="eastAsia" w:ascii="仿宋_GB2312" w:hAnsi="宋体" w:eastAsia="仿宋_GB2312" w:cs="ËÎÌå"/>
          <w:kern w:val="0"/>
          <w:sz w:val="24"/>
          <w:szCs w:val="24"/>
        </w:rPr>
        <w:t>重大维修和改造项目不包括在工作范围内。如有需要，甲方应专项合同委托具备相关资质的电梯生产单位施工并通过政府主管部门的验收。</w:t>
      </w:r>
    </w:p>
    <w:p w14:paraId="0347C9A1">
      <w:pPr>
        <w:spacing w:line="380" w:lineRule="exact"/>
        <w:ind w:left="1" w:firstLine="479" w:firstLineChars="199"/>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 xml:space="preserve">第四条 </w:t>
      </w:r>
      <w:r>
        <w:rPr>
          <w:rFonts w:hint="eastAsia" w:ascii="仿宋_GB2312" w:hAnsi="宋体" w:eastAsia="仿宋_GB2312" w:cs="宋体"/>
          <w:kern w:val="0"/>
          <w:sz w:val="24"/>
          <w:szCs w:val="24"/>
        </w:rPr>
        <w:t>维保期限</w:t>
      </w:r>
    </w:p>
    <w:p w14:paraId="39E62839">
      <w:pPr>
        <w:spacing w:line="380" w:lineRule="exact"/>
        <w:ind w:left="1" w:firstLine="477" w:firstLineChars="199"/>
        <w:rPr>
          <w:rFonts w:hint="eastAsia" w:ascii="仿宋_GB2312" w:eastAsia="仿宋_GB2312"/>
          <w:kern w:val="0"/>
          <w:sz w:val="24"/>
          <w:szCs w:val="24"/>
        </w:rPr>
      </w:pPr>
      <w:r>
        <w:rPr>
          <w:rFonts w:hint="eastAsia" w:ascii="仿宋_GB2312" w:eastAsia="仿宋_GB2312"/>
          <w:kern w:val="0"/>
          <w:sz w:val="24"/>
          <w:szCs w:val="24"/>
        </w:rPr>
        <w:t>本合同有效期为</w:t>
      </w:r>
      <w:r>
        <w:rPr>
          <w:rFonts w:hint="eastAsia" w:ascii="仿宋_GB2312" w:eastAsia="仿宋_GB2312"/>
          <w:kern w:val="0"/>
          <w:sz w:val="24"/>
          <w:szCs w:val="24"/>
          <w:u w:val="single"/>
        </w:rPr>
        <w:t xml:space="preserve"> 壹 </w:t>
      </w:r>
      <w:r>
        <w:rPr>
          <w:rFonts w:hint="eastAsia" w:ascii="仿宋_GB2312" w:eastAsia="仿宋_GB2312"/>
          <w:kern w:val="0"/>
          <w:sz w:val="24"/>
          <w:szCs w:val="24"/>
        </w:rPr>
        <w:t>年，即</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rPr>
        <w:t>年</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rPr>
        <w:t>日起至</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rPr>
        <w:t>年</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日止。</w:t>
      </w:r>
    </w:p>
    <w:p w14:paraId="2BF32190">
      <w:pPr>
        <w:spacing w:line="380" w:lineRule="exact"/>
        <w:ind w:left="1" w:firstLine="479" w:firstLineChars="199"/>
        <w:rPr>
          <w:rFonts w:hint="eastAsia" w:ascii="仿宋_GB2312" w:eastAsia="仿宋_GB2312"/>
          <w:kern w:val="0"/>
          <w:sz w:val="24"/>
          <w:szCs w:val="24"/>
        </w:rPr>
      </w:pPr>
      <w:r>
        <w:rPr>
          <w:rFonts w:hint="eastAsia" w:ascii="仿宋_GB2312" w:hAnsi="宋体" w:eastAsia="仿宋_GB2312" w:cs="宋体"/>
          <w:b/>
          <w:kern w:val="0"/>
          <w:sz w:val="24"/>
          <w:szCs w:val="24"/>
        </w:rPr>
        <w:t>第五条</w:t>
      </w:r>
      <w:r>
        <w:rPr>
          <w:rFonts w:hint="eastAsia" w:ascii="仿宋_GB2312" w:eastAsia="仿宋_GB2312"/>
          <w:kern w:val="0"/>
          <w:sz w:val="24"/>
          <w:szCs w:val="24"/>
        </w:rPr>
        <w:t xml:space="preserve"> </w:t>
      </w:r>
      <w:r>
        <w:rPr>
          <w:rFonts w:hint="eastAsia" w:ascii="仿宋_GB2312" w:hAnsi="宋体" w:eastAsia="仿宋_GB2312" w:cs="宋体"/>
          <w:kern w:val="0"/>
          <w:sz w:val="24"/>
          <w:szCs w:val="24"/>
        </w:rPr>
        <w:t>维</w:t>
      </w:r>
      <w:r>
        <w:rPr>
          <w:rFonts w:hint="eastAsia" w:ascii="仿宋_GB2312" w:eastAsia="仿宋_GB2312"/>
          <w:kern w:val="0"/>
          <w:sz w:val="24"/>
          <w:szCs w:val="24"/>
        </w:rPr>
        <w:t>保费用</w:t>
      </w:r>
    </w:p>
    <w:p w14:paraId="0D899F06">
      <w:pPr>
        <w:spacing w:line="380" w:lineRule="exact"/>
        <w:ind w:left="1" w:firstLine="479" w:firstLineChars="199"/>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本维保项目合同总价为：</w:t>
      </w:r>
      <w:r>
        <w:rPr>
          <w:rFonts w:hint="eastAsia" w:ascii="仿宋_GB2312" w:hAnsi="仿宋_GB2312" w:eastAsia="仿宋_GB2312" w:cs="仿宋_GB2312"/>
          <w:b/>
          <w:bCs/>
          <w:kern w:val="0"/>
          <w:sz w:val="24"/>
          <w:szCs w:val="24"/>
          <w:u w:val="single"/>
          <w:lang w:val="en-US" w:eastAsia="zh-CN"/>
        </w:rPr>
        <w:t xml:space="preserve">      </w:t>
      </w:r>
      <w:r>
        <w:rPr>
          <w:rFonts w:hint="eastAsia" w:ascii="仿宋_GB2312" w:hAnsi="仿宋_GB2312" w:eastAsia="仿宋_GB2312" w:cs="仿宋_GB2312"/>
          <w:b/>
          <w:bCs/>
          <w:kern w:val="0"/>
          <w:sz w:val="24"/>
          <w:szCs w:val="24"/>
        </w:rPr>
        <w:t>，不含更换的市场单价在300元以上的零部件费用</w:t>
      </w:r>
      <w:r>
        <w:rPr>
          <w:rFonts w:hint="eastAsia" w:ascii="仿宋_GB2312" w:hAnsi="仿宋_GB2312" w:eastAsia="仿宋_GB2312" w:cs="仿宋_GB2312"/>
          <w:kern w:val="0"/>
          <w:sz w:val="24"/>
          <w:szCs w:val="24"/>
        </w:rPr>
        <w:t>。</w:t>
      </w:r>
      <w:r>
        <w:rPr>
          <w:rFonts w:hint="eastAsia" w:ascii="仿宋_GB2312" w:hAnsi="仿宋_GB2312" w:eastAsia="仿宋_GB2312" w:cs="仿宋_GB2312"/>
          <w:b/>
          <w:bCs/>
          <w:kern w:val="0"/>
          <w:sz w:val="24"/>
          <w:szCs w:val="24"/>
        </w:rPr>
        <w:t>该价格为甲方为履行本合同所应支付的全部费用，包括但不限于乙方为履行本合同义务所需支出的人员劳务费、交通费、差旅费、食宿费、电梯保险费、税费等所有费用。</w:t>
      </w:r>
    </w:p>
    <w:p w14:paraId="0DED5391">
      <w:pPr>
        <w:spacing w:line="380" w:lineRule="exact"/>
        <w:ind w:left="1" w:firstLine="479" w:firstLineChars="199"/>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 xml:space="preserve">第六条 </w:t>
      </w:r>
      <w:r>
        <w:rPr>
          <w:rFonts w:hint="eastAsia" w:ascii="仿宋_GB2312" w:hAnsi="宋体" w:eastAsia="仿宋_GB2312" w:cs="宋体"/>
          <w:bCs/>
          <w:kern w:val="0"/>
          <w:sz w:val="24"/>
          <w:szCs w:val="24"/>
        </w:rPr>
        <w:t>结算</w:t>
      </w:r>
    </w:p>
    <w:p w14:paraId="02AA3E8B">
      <w:pPr>
        <w:spacing w:line="38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 xml:space="preserve">6.1 </w:t>
      </w:r>
      <w:r>
        <w:rPr>
          <w:rFonts w:hint="eastAsia" w:ascii="仿宋_GB2312" w:hAnsi="宋体" w:eastAsia="仿宋_GB2312" w:cs="宋体"/>
          <w:kern w:val="0"/>
          <w:sz w:val="24"/>
          <w:szCs w:val="24"/>
        </w:rPr>
        <w:t>甲方按</w:t>
      </w:r>
      <w:r>
        <w:rPr>
          <w:rFonts w:hint="eastAsia" w:ascii="仿宋_GB2312" w:hAnsi="宋体" w:eastAsia="仿宋_GB2312" w:cs="宋体"/>
          <w:b/>
          <w:kern w:val="0"/>
          <w:sz w:val="24"/>
          <w:szCs w:val="24"/>
          <w:u w:val="single"/>
        </w:rPr>
        <w:t>季度</w:t>
      </w:r>
      <w:r>
        <w:rPr>
          <w:rFonts w:hint="eastAsia" w:ascii="仿宋_GB2312" w:hAnsi="宋体" w:eastAsia="仿宋_GB2312" w:cs="宋体"/>
          <w:kern w:val="0"/>
          <w:sz w:val="24"/>
          <w:szCs w:val="24"/>
        </w:rPr>
        <w:t>支付维保费。乙方应在每季度的前五个工作日向甲方开具上一季度维保服务费和双方书面确认的需支付零部件实际费用总额的增值税专用发票，甲方收到发票后在七个工作日内支付。</w:t>
      </w:r>
    </w:p>
    <w:p w14:paraId="3ED16487">
      <w:pPr>
        <w:spacing w:line="380" w:lineRule="exact"/>
        <w:ind w:firstLine="480" w:firstLineChars="200"/>
        <w:rPr>
          <w:rFonts w:hint="eastAsia" w:ascii="仿宋_GB2312" w:eastAsia="仿宋_GB2312"/>
          <w:kern w:val="0"/>
          <w:sz w:val="24"/>
          <w:szCs w:val="24"/>
        </w:rPr>
      </w:pPr>
      <w:r>
        <w:rPr>
          <w:rFonts w:ascii="仿宋_GB2312" w:eastAsia="仿宋_GB2312"/>
          <w:kern w:val="0"/>
          <w:sz w:val="24"/>
          <w:szCs w:val="24"/>
        </w:rPr>
        <w:t xml:space="preserve">6.2 </w:t>
      </w:r>
      <w:r>
        <w:rPr>
          <w:rFonts w:hint="eastAsia" w:ascii="仿宋_GB2312" w:eastAsia="仿宋_GB2312"/>
          <w:kern w:val="0"/>
          <w:sz w:val="24"/>
          <w:szCs w:val="24"/>
        </w:rPr>
        <w:t>乙方向甲方提交增值税专用发票（税率为：</w:t>
      </w:r>
      <w:r>
        <w:rPr>
          <w:rFonts w:hint="eastAsia" w:ascii="仿宋_GB2312" w:eastAsia="仿宋_GB2312"/>
          <w:kern w:val="0"/>
          <w:sz w:val="24"/>
          <w:szCs w:val="24"/>
          <w:u w:val="single"/>
        </w:rPr>
        <w:t>6%</w:t>
      </w:r>
      <w:r>
        <w:rPr>
          <w:rFonts w:hint="eastAsia" w:ascii="仿宋_GB2312" w:eastAsia="仿宋_GB2312"/>
          <w:kern w:val="0"/>
          <w:sz w:val="24"/>
          <w:szCs w:val="24"/>
        </w:rPr>
        <w:t>）</w:t>
      </w:r>
    </w:p>
    <w:p w14:paraId="08C5FF3E">
      <w:pPr>
        <w:spacing w:line="380" w:lineRule="exact"/>
        <w:ind w:firstLine="480" w:firstLineChars="200"/>
        <w:rPr>
          <w:rFonts w:hint="eastAsia" w:ascii="仿宋_GB2312" w:hAnsi="宋体" w:eastAsia="仿宋_GB2312" w:cs="宋体"/>
          <w:kern w:val="0"/>
          <w:sz w:val="24"/>
          <w:szCs w:val="24"/>
        </w:rPr>
      </w:pPr>
      <w:r>
        <w:rPr>
          <w:rFonts w:ascii="仿宋_GB2312" w:eastAsia="仿宋_GB2312"/>
          <w:kern w:val="0"/>
          <w:sz w:val="24"/>
          <w:szCs w:val="24"/>
        </w:rPr>
        <w:t>6.3</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甲方根据乙方提交的电梯维保记录中实际完成的电梯维保数量据实结算。最终经甲方工程部按照电梯维保记录验收合格后，按审核后的金额据实结算。</w:t>
      </w:r>
    </w:p>
    <w:p w14:paraId="46BE5E18">
      <w:pPr>
        <w:spacing w:line="380" w:lineRule="exact"/>
        <w:ind w:firstLine="480" w:firstLineChars="200"/>
        <w:rPr>
          <w:rFonts w:hint="eastAsia" w:ascii="仿宋_GB2312" w:hAnsi="宋体" w:eastAsia="仿宋_GB2312" w:cs="宋体"/>
          <w:kern w:val="0"/>
          <w:sz w:val="24"/>
          <w:szCs w:val="24"/>
        </w:rPr>
      </w:pPr>
      <w:r>
        <w:rPr>
          <w:rFonts w:ascii="仿宋_GB2312" w:eastAsia="仿宋_GB2312"/>
          <w:kern w:val="0"/>
          <w:sz w:val="24"/>
          <w:szCs w:val="24"/>
        </w:rPr>
        <w:t>6.4</w:t>
      </w:r>
      <w:r>
        <w:rPr>
          <w:rFonts w:hint="eastAsia" w:ascii="仿宋_GB2312" w:hAnsi="宋体" w:eastAsia="仿宋_GB2312" w:cs="宋体"/>
          <w:kern w:val="0"/>
          <w:sz w:val="24"/>
          <w:szCs w:val="24"/>
        </w:rPr>
        <w:t>如因电梯设备保养的需求，维修过程中需更换或者使用部分零部件（300元以上，不含300元），乙方应提供本合同电梯设备保养和维修所需零部件的价格费用明细表，经甲乙双方确认后，以实际产生情况支付费用。部分零部件项目价格表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132"/>
        <w:gridCol w:w="2139"/>
        <w:gridCol w:w="2126"/>
      </w:tblGrid>
      <w:tr w14:paraId="3FE0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noWrap w:val="0"/>
            <w:vAlign w:val="top"/>
          </w:tcPr>
          <w:p w14:paraId="4276E7C3">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项目名称</w:t>
            </w:r>
          </w:p>
        </w:tc>
        <w:tc>
          <w:tcPr>
            <w:tcW w:w="2222" w:type="dxa"/>
            <w:noWrap w:val="0"/>
            <w:vAlign w:val="top"/>
          </w:tcPr>
          <w:p w14:paraId="4A885FCA">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单价</w:t>
            </w:r>
          </w:p>
        </w:tc>
        <w:tc>
          <w:tcPr>
            <w:tcW w:w="2223" w:type="dxa"/>
            <w:noWrap w:val="0"/>
            <w:vAlign w:val="top"/>
          </w:tcPr>
          <w:p w14:paraId="2891DB30">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品牌、规格</w:t>
            </w:r>
          </w:p>
        </w:tc>
        <w:tc>
          <w:tcPr>
            <w:tcW w:w="2223" w:type="dxa"/>
            <w:noWrap w:val="0"/>
            <w:vAlign w:val="top"/>
          </w:tcPr>
          <w:p w14:paraId="79C45D42">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14:paraId="36B7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noWrap w:val="0"/>
            <w:vAlign w:val="top"/>
          </w:tcPr>
          <w:p w14:paraId="096B4805">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电梯润滑油</w:t>
            </w:r>
          </w:p>
        </w:tc>
        <w:tc>
          <w:tcPr>
            <w:tcW w:w="2222" w:type="dxa"/>
            <w:noWrap w:val="0"/>
            <w:vAlign w:val="top"/>
          </w:tcPr>
          <w:p w14:paraId="685AA82B">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370元/桶</w:t>
            </w:r>
          </w:p>
        </w:tc>
        <w:tc>
          <w:tcPr>
            <w:tcW w:w="2223" w:type="dxa"/>
            <w:noWrap w:val="0"/>
            <w:vAlign w:val="top"/>
          </w:tcPr>
          <w:p w14:paraId="52E29DD0">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5升/桶</w:t>
            </w:r>
          </w:p>
        </w:tc>
        <w:tc>
          <w:tcPr>
            <w:tcW w:w="2223" w:type="dxa"/>
            <w:noWrap w:val="0"/>
            <w:vAlign w:val="top"/>
          </w:tcPr>
          <w:p w14:paraId="1DF2B616">
            <w:pPr>
              <w:spacing w:line="380" w:lineRule="exact"/>
              <w:jc w:val="center"/>
              <w:rPr>
                <w:rFonts w:ascii="仿宋_GB2312" w:hAnsi="宋体" w:eastAsia="仿宋_GB2312" w:cs="宋体"/>
                <w:kern w:val="0"/>
                <w:sz w:val="24"/>
                <w:szCs w:val="24"/>
              </w:rPr>
            </w:pPr>
          </w:p>
        </w:tc>
      </w:tr>
      <w:tr w14:paraId="69AA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noWrap w:val="0"/>
            <w:vAlign w:val="top"/>
          </w:tcPr>
          <w:p w14:paraId="591E6A28">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手扶梯疏齿板</w:t>
            </w:r>
          </w:p>
        </w:tc>
        <w:tc>
          <w:tcPr>
            <w:tcW w:w="2222" w:type="dxa"/>
            <w:noWrap w:val="0"/>
            <w:vAlign w:val="top"/>
          </w:tcPr>
          <w:p w14:paraId="08BFC3CE">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240元</w:t>
            </w:r>
          </w:p>
        </w:tc>
        <w:tc>
          <w:tcPr>
            <w:tcW w:w="2223" w:type="dxa"/>
            <w:noWrap w:val="0"/>
            <w:vAlign w:val="top"/>
          </w:tcPr>
          <w:p w14:paraId="6BF4E32F">
            <w:pPr>
              <w:spacing w:line="380" w:lineRule="exact"/>
              <w:jc w:val="center"/>
              <w:rPr>
                <w:rFonts w:ascii="仿宋_GB2312" w:hAnsi="宋体" w:eastAsia="仿宋_GB2312" w:cs="宋体"/>
                <w:kern w:val="0"/>
                <w:sz w:val="24"/>
                <w:szCs w:val="24"/>
              </w:rPr>
            </w:pPr>
          </w:p>
        </w:tc>
        <w:tc>
          <w:tcPr>
            <w:tcW w:w="2223" w:type="dxa"/>
            <w:noWrap w:val="0"/>
            <w:vAlign w:val="top"/>
          </w:tcPr>
          <w:p w14:paraId="1DD6839E">
            <w:pPr>
              <w:spacing w:line="380" w:lineRule="exact"/>
              <w:jc w:val="center"/>
              <w:rPr>
                <w:rFonts w:ascii="仿宋_GB2312" w:hAnsi="宋体" w:eastAsia="仿宋_GB2312" w:cs="宋体"/>
                <w:kern w:val="0"/>
                <w:sz w:val="24"/>
                <w:szCs w:val="24"/>
              </w:rPr>
            </w:pPr>
          </w:p>
        </w:tc>
      </w:tr>
      <w:tr w14:paraId="3FFD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noWrap w:val="0"/>
            <w:vAlign w:val="top"/>
          </w:tcPr>
          <w:p w14:paraId="55F79082">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梯级边条</w:t>
            </w:r>
          </w:p>
        </w:tc>
        <w:tc>
          <w:tcPr>
            <w:tcW w:w="2222" w:type="dxa"/>
            <w:noWrap w:val="0"/>
            <w:vAlign w:val="top"/>
          </w:tcPr>
          <w:p w14:paraId="5670BA0E">
            <w:pPr>
              <w:spacing w:line="380" w:lineRule="exact"/>
              <w:ind w:left="0" w:leftChars="0"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220元</w:t>
            </w:r>
          </w:p>
        </w:tc>
        <w:tc>
          <w:tcPr>
            <w:tcW w:w="2223" w:type="dxa"/>
            <w:noWrap w:val="0"/>
            <w:vAlign w:val="top"/>
          </w:tcPr>
          <w:p w14:paraId="3974BBA2">
            <w:pPr>
              <w:spacing w:line="380" w:lineRule="exact"/>
              <w:jc w:val="center"/>
              <w:rPr>
                <w:rFonts w:ascii="仿宋_GB2312" w:hAnsi="宋体" w:eastAsia="仿宋_GB2312" w:cs="宋体"/>
                <w:kern w:val="0"/>
                <w:sz w:val="24"/>
                <w:szCs w:val="24"/>
              </w:rPr>
            </w:pPr>
          </w:p>
        </w:tc>
        <w:tc>
          <w:tcPr>
            <w:tcW w:w="2223" w:type="dxa"/>
            <w:noWrap w:val="0"/>
            <w:vAlign w:val="top"/>
          </w:tcPr>
          <w:p w14:paraId="4875D7E2">
            <w:pPr>
              <w:spacing w:line="380" w:lineRule="exact"/>
              <w:jc w:val="center"/>
              <w:rPr>
                <w:rFonts w:ascii="仿宋_GB2312" w:hAnsi="宋体" w:eastAsia="仿宋_GB2312" w:cs="宋体"/>
                <w:kern w:val="0"/>
                <w:sz w:val="24"/>
                <w:szCs w:val="24"/>
              </w:rPr>
            </w:pPr>
          </w:p>
        </w:tc>
      </w:tr>
    </w:tbl>
    <w:p w14:paraId="21C08A6D">
      <w:pPr>
        <w:spacing w:line="380" w:lineRule="exact"/>
        <w:ind w:firstLine="480" w:firstLineChars="200"/>
        <w:rPr>
          <w:rFonts w:ascii="仿宋_GB2312" w:hAnsi="宋体" w:eastAsia="仿宋_GB2312" w:cs="宋体"/>
          <w:kern w:val="0"/>
          <w:sz w:val="24"/>
          <w:szCs w:val="24"/>
        </w:rPr>
      </w:pPr>
    </w:p>
    <w:p w14:paraId="32D06183">
      <w:pPr>
        <w:spacing w:line="380" w:lineRule="exact"/>
        <w:ind w:firstLine="480" w:firstLineChars="200"/>
        <w:rPr>
          <w:rFonts w:hint="eastAsia" w:ascii="仿宋_GB2312" w:hAnsi="宋体" w:eastAsia="仿宋_GB2312" w:cs="宋体"/>
          <w:kern w:val="0"/>
          <w:sz w:val="24"/>
          <w:szCs w:val="24"/>
        </w:rPr>
      </w:pPr>
    </w:p>
    <w:p w14:paraId="77C09B04">
      <w:pPr>
        <w:spacing w:line="380" w:lineRule="exact"/>
        <w:ind w:firstLine="480" w:firstLineChars="200"/>
        <w:rPr>
          <w:rFonts w:hint="eastAsia" w:ascii="仿宋_GB2312" w:hAnsi="宋体" w:eastAsia="仿宋_GB2312" w:cs="宋体"/>
          <w:kern w:val="0"/>
          <w:sz w:val="24"/>
          <w:szCs w:val="24"/>
        </w:rPr>
      </w:pPr>
      <w:r>
        <w:rPr>
          <w:rFonts w:ascii="仿宋_GB2312" w:eastAsia="仿宋_GB2312"/>
          <w:kern w:val="0"/>
          <w:sz w:val="24"/>
          <w:szCs w:val="24"/>
        </w:rPr>
        <w:t>6.5</w:t>
      </w:r>
      <w:r>
        <w:rPr>
          <w:rFonts w:hint="eastAsia" w:ascii="仿宋_GB2312" w:hAnsi="宋体" w:eastAsia="仿宋_GB2312" w:cs="宋体"/>
          <w:kern w:val="0"/>
          <w:sz w:val="24"/>
          <w:szCs w:val="24"/>
        </w:rPr>
        <w:t>支付方式：请按合同条款将保养费汇到乙方指定帐户：</w:t>
      </w:r>
    </w:p>
    <w:p w14:paraId="249AD270">
      <w:pPr>
        <w:spacing w:line="38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户  名：</w:t>
      </w:r>
    </w:p>
    <w:p w14:paraId="67552CE4">
      <w:pPr>
        <w:spacing w:line="38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开户行：</w:t>
      </w:r>
    </w:p>
    <w:p w14:paraId="534F8395">
      <w:pPr>
        <w:spacing w:line="38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帐  号：</w:t>
      </w:r>
    </w:p>
    <w:p w14:paraId="534D5187">
      <w:pPr>
        <w:spacing w:line="380" w:lineRule="exact"/>
        <w:ind w:firstLine="482" w:firstLineChars="200"/>
        <w:rPr>
          <w:rFonts w:hint="eastAsia" w:ascii="仿宋_GB2312" w:hAnsi="宋体" w:eastAsia="仿宋_GB2312" w:cs="ËÎÌå"/>
          <w:b/>
          <w:kern w:val="0"/>
          <w:sz w:val="24"/>
          <w:szCs w:val="24"/>
          <w:u w:val="single"/>
        </w:rPr>
      </w:pPr>
      <w:r>
        <w:rPr>
          <w:rFonts w:hint="eastAsia" w:ascii="仿宋_GB2312" w:eastAsia="仿宋_GB2312"/>
          <w:b/>
          <w:sz w:val="24"/>
          <w:szCs w:val="24"/>
        </w:rPr>
        <w:t>第</w:t>
      </w:r>
      <w:r>
        <w:rPr>
          <w:rFonts w:hint="eastAsia" w:ascii="仿宋_GB2312" w:hAnsi="宋体" w:eastAsia="仿宋_GB2312" w:cs="ËÎÌå"/>
          <w:b/>
          <w:kern w:val="0"/>
          <w:sz w:val="24"/>
          <w:szCs w:val="24"/>
        </w:rPr>
        <w:t>七</w:t>
      </w:r>
      <w:r>
        <w:rPr>
          <w:rFonts w:hint="eastAsia" w:ascii="仿宋_GB2312" w:eastAsia="仿宋_GB2312"/>
          <w:b/>
          <w:sz w:val="24"/>
          <w:szCs w:val="24"/>
        </w:rPr>
        <w:t xml:space="preserve">条  </w:t>
      </w:r>
      <w:r>
        <w:rPr>
          <w:rFonts w:hint="eastAsia" w:ascii="仿宋_GB2312" w:eastAsia="仿宋_GB2312"/>
          <w:sz w:val="24"/>
          <w:szCs w:val="24"/>
        </w:rPr>
        <w:t>甲方权利、义务</w:t>
      </w:r>
    </w:p>
    <w:p w14:paraId="6523A740">
      <w:pPr>
        <w:spacing w:line="380" w:lineRule="exact"/>
        <w:ind w:firstLine="482" w:firstLineChars="200"/>
        <w:rPr>
          <w:rFonts w:hint="eastAsia" w:ascii="仿宋_GB2312" w:eastAsia="仿宋_GB2312"/>
          <w:b/>
          <w:sz w:val="24"/>
          <w:szCs w:val="24"/>
        </w:rPr>
      </w:pPr>
      <w:r>
        <w:rPr>
          <w:rFonts w:hint="eastAsia" w:ascii="仿宋_GB2312" w:eastAsia="仿宋_GB2312"/>
          <w:b/>
          <w:sz w:val="24"/>
          <w:szCs w:val="24"/>
        </w:rPr>
        <w:t>7</w:t>
      </w:r>
      <w:r>
        <w:rPr>
          <w:rFonts w:ascii="仿宋_GB2312" w:eastAsia="仿宋_GB2312"/>
          <w:b/>
          <w:sz w:val="24"/>
          <w:szCs w:val="24"/>
        </w:rPr>
        <w:t>.1</w:t>
      </w:r>
      <w:r>
        <w:rPr>
          <w:rFonts w:hint="eastAsia" w:ascii="仿宋_GB2312" w:eastAsia="仿宋_GB2312"/>
          <w:b/>
          <w:sz w:val="24"/>
          <w:szCs w:val="24"/>
        </w:rPr>
        <w:t>权利</w:t>
      </w:r>
    </w:p>
    <w:p w14:paraId="634D87C3">
      <w:pPr>
        <w:spacing w:line="380" w:lineRule="exact"/>
        <w:ind w:firstLine="480" w:firstLineChars="200"/>
        <w:rPr>
          <w:rFonts w:hint="eastAsia" w:ascii="仿宋_GB2312" w:eastAsia="仿宋_GB2312"/>
          <w:sz w:val="24"/>
          <w:szCs w:val="24"/>
        </w:rPr>
      </w:pPr>
      <w:r>
        <w:rPr>
          <w:rFonts w:ascii="仿宋_GB2312" w:eastAsia="仿宋_GB2312"/>
          <w:sz w:val="24"/>
          <w:szCs w:val="24"/>
        </w:rPr>
        <w:t>7.1.1</w:t>
      </w:r>
      <w:r>
        <w:rPr>
          <w:rFonts w:hint="eastAsia" w:ascii="仿宋_GB2312" w:eastAsia="仿宋_GB2312"/>
          <w:sz w:val="24"/>
          <w:szCs w:val="24"/>
        </w:rPr>
        <w:t>有权监督检查乙方依照合同约定实施维保计划的情况，监督经乙方维保后的</w:t>
      </w:r>
      <w:r>
        <w:rPr>
          <w:rFonts w:hint="eastAsia" w:ascii="仿宋_GB2312" w:hAnsi="宋体" w:eastAsia="仿宋_GB2312" w:cs="宋体"/>
          <w:kern w:val="0"/>
          <w:sz w:val="24"/>
          <w:szCs w:val="24"/>
        </w:rPr>
        <w:t>电梯是否符合法律法规、安全技术规范、强制性标准和电梯制造单位的技术要求，电梯安全性能是否良好。</w:t>
      </w:r>
    </w:p>
    <w:p w14:paraId="74E915BE">
      <w:pPr>
        <w:spacing w:line="380" w:lineRule="exact"/>
        <w:ind w:firstLine="480" w:firstLineChars="200"/>
        <w:rPr>
          <w:rFonts w:hint="eastAsia" w:ascii="仿宋_GB2312" w:eastAsia="仿宋_GB2312"/>
          <w:sz w:val="24"/>
          <w:szCs w:val="24"/>
        </w:rPr>
      </w:pPr>
      <w:r>
        <w:rPr>
          <w:rFonts w:ascii="仿宋_GB2312" w:eastAsia="仿宋_GB2312"/>
          <w:sz w:val="24"/>
          <w:szCs w:val="24"/>
        </w:rPr>
        <w:t>7.1.2</w:t>
      </w:r>
      <w:r>
        <w:rPr>
          <w:rFonts w:hint="eastAsia" w:ascii="仿宋_GB2312" w:eastAsia="仿宋_GB2312"/>
          <w:sz w:val="24"/>
          <w:szCs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667D5D9B">
      <w:pPr>
        <w:spacing w:line="380" w:lineRule="exact"/>
        <w:ind w:firstLine="480" w:firstLineChars="200"/>
        <w:rPr>
          <w:rFonts w:ascii="仿宋_GB2312" w:eastAsia="仿宋_GB2312"/>
          <w:sz w:val="24"/>
          <w:szCs w:val="24"/>
        </w:rPr>
      </w:pPr>
      <w:r>
        <w:rPr>
          <w:rFonts w:ascii="仿宋_GB2312" w:eastAsia="仿宋_GB2312"/>
          <w:sz w:val="24"/>
          <w:szCs w:val="24"/>
        </w:rPr>
        <w:t>7.1.3</w:t>
      </w:r>
      <w:r>
        <w:rPr>
          <w:rFonts w:hint="eastAsia" w:ascii="仿宋_GB2312" w:eastAsia="仿宋_GB2312"/>
          <w:sz w:val="24"/>
          <w:szCs w:val="24"/>
        </w:rPr>
        <w:t>除国家规定的强制定期检验外，有权委托特种设备检验机构或第三方中介机构对乙方按照合同约定实施维保工作的情况进行评定。</w:t>
      </w:r>
    </w:p>
    <w:p w14:paraId="0CB5ED12">
      <w:pPr>
        <w:spacing w:line="380" w:lineRule="exact"/>
        <w:ind w:firstLine="480" w:firstLineChars="200"/>
        <w:rPr>
          <w:rFonts w:hint="eastAsia" w:ascii="仿宋_GB2312" w:eastAsia="仿宋_GB2312"/>
          <w:sz w:val="24"/>
          <w:szCs w:val="24"/>
        </w:rPr>
      </w:pPr>
      <w:r>
        <w:rPr>
          <w:rFonts w:ascii="仿宋_GB2312" w:eastAsia="仿宋_GB2312"/>
          <w:sz w:val="24"/>
          <w:szCs w:val="24"/>
        </w:rPr>
        <w:t>7.1.4</w:t>
      </w:r>
      <w:r>
        <w:rPr>
          <w:rFonts w:hint="eastAsia" w:ascii="仿宋_GB2312" w:eastAsia="仿宋_GB2312"/>
          <w:sz w:val="24"/>
          <w:szCs w:val="24"/>
        </w:rPr>
        <w:t>电梯发生故障或异常情况时，要求</w:t>
      </w:r>
      <w:r>
        <w:rPr>
          <w:rFonts w:hint="eastAsia" w:ascii="仿宋_GB2312" w:hAnsi="宋体" w:eastAsia="仿宋_GB2312" w:cs="宋体"/>
          <w:kern w:val="0"/>
          <w:sz w:val="24"/>
          <w:szCs w:val="24"/>
        </w:rPr>
        <w:t>乙方提供紧急救援、故障抢修服务。</w:t>
      </w:r>
    </w:p>
    <w:p w14:paraId="444C5F03">
      <w:pPr>
        <w:spacing w:line="380" w:lineRule="exact"/>
        <w:ind w:firstLine="482" w:firstLineChars="200"/>
        <w:rPr>
          <w:rFonts w:hint="eastAsia" w:ascii="仿宋_GB2312" w:eastAsia="仿宋_GB2312"/>
          <w:b/>
          <w:sz w:val="24"/>
          <w:szCs w:val="24"/>
        </w:rPr>
      </w:pPr>
      <w:r>
        <w:rPr>
          <w:rFonts w:hint="eastAsia" w:ascii="仿宋_GB2312" w:eastAsia="仿宋_GB2312"/>
          <w:b/>
          <w:sz w:val="24"/>
          <w:szCs w:val="24"/>
        </w:rPr>
        <w:t>7</w:t>
      </w:r>
      <w:r>
        <w:rPr>
          <w:rFonts w:ascii="仿宋_GB2312" w:eastAsia="仿宋_GB2312"/>
          <w:b/>
          <w:sz w:val="24"/>
          <w:szCs w:val="24"/>
        </w:rPr>
        <w:t>.2</w:t>
      </w:r>
      <w:r>
        <w:rPr>
          <w:rFonts w:hint="eastAsia" w:ascii="仿宋_GB2312" w:eastAsia="仿宋_GB2312"/>
          <w:b/>
          <w:sz w:val="24"/>
          <w:szCs w:val="24"/>
        </w:rPr>
        <w:t>义务</w:t>
      </w:r>
    </w:p>
    <w:p w14:paraId="11FB6659">
      <w:pPr>
        <w:spacing w:line="380" w:lineRule="exact"/>
        <w:ind w:firstLine="480" w:firstLineChars="200"/>
        <w:rPr>
          <w:rFonts w:hint="eastAsia" w:ascii="仿宋_GB2312" w:hAnsi="宋体-18030" w:eastAsia="仿宋_GB2312" w:cs="宋体-18030"/>
          <w:kern w:val="0"/>
          <w:sz w:val="24"/>
          <w:szCs w:val="24"/>
        </w:rPr>
      </w:pPr>
      <w:r>
        <w:rPr>
          <w:rFonts w:ascii="仿宋_GB2312" w:hAnsi="宋体-18030" w:eastAsia="仿宋_GB2312" w:cs="宋体-18030"/>
          <w:kern w:val="0"/>
          <w:sz w:val="24"/>
          <w:szCs w:val="24"/>
        </w:rPr>
        <w:t>7.2.1</w:t>
      </w:r>
      <w:r>
        <w:rPr>
          <w:rFonts w:hint="eastAsia" w:ascii="仿宋_GB2312" w:hAnsi="宋体-18030" w:eastAsia="仿宋_GB2312" w:cs="宋体-18030"/>
          <w:kern w:val="0"/>
          <w:sz w:val="24"/>
          <w:szCs w:val="24"/>
        </w:rPr>
        <w:t>建立电梯安全运行的相关管理架构、制度，确保制度、人员、资金落实到位。</w:t>
      </w:r>
    </w:p>
    <w:p w14:paraId="4884AFE7">
      <w:pPr>
        <w:spacing w:line="380" w:lineRule="exact"/>
        <w:ind w:firstLine="480" w:firstLineChars="200"/>
        <w:rPr>
          <w:rFonts w:hint="eastAsia" w:ascii="仿宋_GB2312" w:hAnsi="宋体-18030" w:eastAsia="仿宋_GB2312" w:cs="宋体-18030"/>
          <w:kern w:val="0"/>
          <w:sz w:val="24"/>
          <w:szCs w:val="24"/>
        </w:rPr>
      </w:pPr>
      <w:r>
        <w:rPr>
          <w:rFonts w:ascii="仿宋_GB2312" w:hAnsi="宋体-18030" w:eastAsia="仿宋_GB2312" w:cs="宋体-18030"/>
          <w:kern w:val="0"/>
          <w:sz w:val="24"/>
          <w:szCs w:val="24"/>
        </w:rPr>
        <w:t>7.2.2</w:t>
      </w:r>
      <w:r>
        <w:rPr>
          <w:rFonts w:hint="eastAsia" w:ascii="仿宋_GB2312" w:hAnsi="宋体-18030" w:eastAsia="仿宋_GB2312" w:cs="宋体-18030"/>
          <w:kern w:val="0"/>
          <w:sz w:val="24"/>
          <w:szCs w:val="24"/>
        </w:rPr>
        <w:t>按照合同约定按期支付维保和经甲方书面确认需额外支付的零部件更换费用、故障抢修时核算后产生的费用。</w:t>
      </w:r>
    </w:p>
    <w:p w14:paraId="169FDD50">
      <w:pPr>
        <w:spacing w:line="380" w:lineRule="exact"/>
        <w:ind w:firstLine="480" w:firstLineChars="200"/>
        <w:rPr>
          <w:rFonts w:hint="eastAsia" w:ascii="仿宋_GB2312" w:hAnsi="宋体-18030" w:eastAsia="仿宋_GB2312" w:cs="宋体-18030"/>
          <w:kern w:val="0"/>
          <w:sz w:val="24"/>
          <w:szCs w:val="24"/>
        </w:rPr>
      </w:pPr>
      <w:r>
        <w:rPr>
          <w:rFonts w:ascii="仿宋_GB2312" w:hAnsi="宋体-18030" w:eastAsia="仿宋_GB2312" w:cs="宋体-18030"/>
          <w:kern w:val="0"/>
          <w:sz w:val="24"/>
          <w:szCs w:val="24"/>
        </w:rPr>
        <w:t>7.2.3</w:t>
      </w:r>
      <w:r>
        <w:rPr>
          <w:rFonts w:hint="eastAsia" w:ascii="仿宋_GB2312" w:eastAsia="仿宋_GB2312"/>
          <w:sz w:val="24"/>
          <w:szCs w:val="24"/>
        </w:rPr>
        <w:t>配备持有电梯安全管理员资格证件的人员</w:t>
      </w:r>
      <w:r>
        <w:rPr>
          <w:rFonts w:hint="eastAsia" w:ascii="仿宋_GB2312" w:hAnsi="宋体-18030" w:eastAsia="仿宋_GB2312" w:cs="宋体-18030"/>
          <w:kern w:val="0"/>
          <w:sz w:val="24"/>
          <w:szCs w:val="24"/>
        </w:rPr>
        <w:t>负责电梯的日常安全管理工作，并在更换电梯管理人员时及时通知乙方。督促</w:t>
      </w:r>
      <w:r>
        <w:rPr>
          <w:rFonts w:hint="eastAsia" w:ascii="仿宋_GB2312" w:eastAsia="仿宋_GB2312"/>
          <w:sz w:val="24"/>
          <w:szCs w:val="24"/>
        </w:rPr>
        <w:t>电梯安全管理人员</w:t>
      </w:r>
      <w:r>
        <w:rPr>
          <w:rFonts w:hint="eastAsia" w:ascii="仿宋_GB2312" w:hAnsi="宋体-18030" w:eastAsia="仿宋_GB2312" w:cs="宋体-18030"/>
          <w:kern w:val="0"/>
          <w:sz w:val="24"/>
          <w:szCs w:val="24"/>
        </w:rPr>
        <w:t>按照电梯使用检查表完成电梯的日常检查工作和每月检查工作，并严格按照电梯层门钥匙使用管理有关要求对电梯钥匙进行管理，实行钥匙领用登记，不将电梯钥匙交给非持证人员使用。</w:t>
      </w:r>
    </w:p>
    <w:p w14:paraId="032F3A3F">
      <w:pPr>
        <w:spacing w:line="380" w:lineRule="exact"/>
        <w:ind w:firstLine="480" w:firstLineChars="200"/>
        <w:rPr>
          <w:rFonts w:hint="eastAsia" w:ascii="仿宋_GB2312" w:eastAsia="仿宋_GB2312"/>
          <w:sz w:val="24"/>
          <w:szCs w:val="24"/>
        </w:rPr>
      </w:pPr>
      <w:r>
        <w:rPr>
          <w:rFonts w:ascii="仿宋_GB2312" w:hAnsi="宋体-18030" w:eastAsia="仿宋_GB2312" w:cs="宋体-18030"/>
          <w:kern w:val="0"/>
          <w:sz w:val="24"/>
          <w:szCs w:val="24"/>
        </w:rPr>
        <w:t>7.2.4</w:t>
      </w:r>
      <w:r>
        <w:rPr>
          <w:rFonts w:hint="eastAsia" w:ascii="仿宋_GB2312" w:hAnsi="宋体-18030" w:eastAsia="仿宋_GB2312" w:cs="宋体-18030"/>
          <w:kern w:val="0"/>
          <w:sz w:val="24"/>
          <w:szCs w:val="24"/>
        </w:rPr>
        <w:t>督促</w:t>
      </w:r>
      <w:r>
        <w:rPr>
          <w:rFonts w:hint="eastAsia" w:ascii="仿宋_GB2312" w:eastAsia="仿宋_GB2312"/>
          <w:sz w:val="24"/>
          <w:szCs w:val="24"/>
        </w:rPr>
        <w:t>电梯安全管理人员</w:t>
      </w:r>
      <w:r>
        <w:rPr>
          <w:rFonts w:hint="eastAsia" w:ascii="仿宋_GB2312" w:hAnsi="宋体-18030" w:eastAsia="仿宋_GB2312" w:cs="宋体-18030"/>
          <w:kern w:val="0"/>
          <w:sz w:val="24"/>
          <w:szCs w:val="24"/>
        </w:rPr>
        <w:t>现场监督检查乙方的电梯保养工作过程和工作结果、</w:t>
      </w:r>
      <w:r>
        <w:rPr>
          <w:rFonts w:hint="eastAsia" w:ascii="仿宋_GB2312" w:hAnsi="宋体" w:eastAsia="仿宋_GB2312" w:cs="宋体"/>
          <w:kern w:val="0"/>
          <w:sz w:val="24"/>
          <w:szCs w:val="24"/>
        </w:rPr>
        <w:t>对乙方的维保记录、修理记录签字确认，</w:t>
      </w:r>
      <w:r>
        <w:rPr>
          <w:rFonts w:hint="eastAsia" w:ascii="仿宋_GB2312" w:eastAsia="仿宋_GB2312"/>
          <w:sz w:val="24"/>
          <w:szCs w:val="24"/>
        </w:rPr>
        <w:t>签收乙方提交的与电梯维保工作有关的文件。</w:t>
      </w:r>
    </w:p>
    <w:p w14:paraId="107D067C">
      <w:pPr>
        <w:spacing w:line="380" w:lineRule="exact"/>
        <w:ind w:firstLine="480" w:firstLineChars="200"/>
        <w:rPr>
          <w:rFonts w:hint="eastAsia" w:ascii="仿宋_GB2312" w:eastAsia="仿宋_GB2312"/>
          <w:sz w:val="24"/>
          <w:szCs w:val="24"/>
        </w:rPr>
      </w:pPr>
      <w:r>
        <w:rPr>
          <w:rFonts w:ascii="仿宋_GB2312" w:eastAsia="仿宋_GB2312"/>
          <w:sz w:val="24"/>
          <w:szCs w:val="24"/>
        </w:rPr>
        <w:t>7.2.5</w:t>
      </w:r>
      <w:r>
        <w:rPr>
          <w:rFonts w:hint="eastAsia" w:ascii="仿宋_GB2312" w:hAnsi="宋体" w:eastAsia="仿宋_GB2312" w:cs="宋体"/>
          <w:kern w:val="0"/>
          <w:sz w:val="24"/>
          <w:szCs w:val="24"/>
        </w:rPr>
        <w:t>电梯发生故障或异常情况时应当立即停止使用，并做好相关安全防护措施。</w:t>
      </w:r>
      <w:r>
        <w:rPr>
          <w:rFonts w:hint="eastAsia" w:ascii="仿宋_GB2312" w:hAnsi="宋体-18030" w:eastAsia="仿宋_GB2312" w:cs="宋体-18030"/>
          <w:kern w:val="0"/>
          <w:sz w:val="24"/>
          <w:szCs w:val="24"/>
        </w:rPr>
        <w:t>在电梯的日常使用时间内，确保值班人员可靠接收报警电话、警铃装置发出的求救信号，</w:t>
      </w:r>
      <w:r>
        <w:rPr>
          <w:rFonts w:hint="eastAsia" w:ascii="仿宋_GB2312" w:hAnsi="宋体" w:eastAsia="仿宋_GB2312" w:cs="宋体"/>
          <w:kern w:val="0"/>
          <w:sz w:val="24"/>
          <w:szCs w:val="24"/>
        </w:rPr>
        <w:t>及时通知乙方抢修，并详细记录相关工作的具体时间。</w:t>
      </w:r>
    </w:p>
    <w:p w14:paraId="14DCFEB7">
      <w:pPr>
        <w:spacing w:line="380" w:lineRule="exact"/>
        <w:ind w:firstLine="480" w:firstLineChars="200"/>
        <w:rPr>
          <w:rFonts w:hint="eastAsia" w:ascii="仿宋_GB2312" w:hAnsi="宋体" w:eastAsia="仿宋_GB2312" w:cs="宋体"/>
          <w:kern w:val="0"/>
          <w:sz w:val="24"/>
          <w:szCs w:val="24"/>
        </w:rPr>
      </w:pPr>
      <w:r>
        <w:rPr>
          <w:rFonts w:ascii="仿宋_GB2312" w:hAnsi="宋体" w:eastAsia="仿宋_GB2312" w:cs="宋体"/>
          <w:kern w:val="0"/>
          <w:sz w:val="24"/>
          <w:szCs w:val="24"/>
        </w:rPr>
        <w:t>7.2.6</w:t>
      </w:r>
      <w:r>
        <w:rPr>
          <w:rFonts w:hint="eastAsia" w:ascii="仿宋_GB2312" w:eastAsia="仿宋_GB2312"/>
          <w:sz w:val="24"/>
          <w:szCs w:val="24"/>
        </w:rPr>
        <w:t>制订有关电梯的应急救援预案（如：电梯困人、消防、电梯水浸、自动扶梯人身伤害等）。每年至少一次定期开展应急救援演练，确保应急系统运行有效。</w:t>
      </w:r>
    </w:p>
    <w:p w14:paraId="6EAD2AB5">
      <w:pPr>
        <w:spacing w:line="380" w:lineRule="exact"/>
        <w:ind w:firstLine="480" w:firstLineChars="200"/>
        <w:rPr>
          <w:rFonts w:hint="eastAsia" w:ascii="仿宋_GB2312" w:hAnsi="宋体-18030" w:eastAsia="仿宋_GB2312" w:cs="宋体-18030"/>
          <w:kern w:val="0"/>
          <w:sz w:val="24"/>
          <w:szCs w:val="24"/>
        </w:rPr>
      </w:pPr>
      <w:r>
        <w:rPr>
          <w:rFonts w:ascii="仿宋_GB2312" w:hAnsi="宋体-18030" w:eastAsia="仿宋_GB2312" w:cs="宋体-18030"/>
          <w:kern w:val="0"/>
          <w:sz w:val="24"/>
          <w:szCs w:val="24"/>
        </w:rPr>
        <w:t>7.2.7</w:t>
      </w:r>
      <w:r>
        <w:rPr>
          <w:rFonts w:hint="eastAsia" w:ascii="仿宋_GB2312" w:hAnsi="宋体-18030" w:eastAsia="仿宋_GB2312" w:cs="宋体-18030"/>
          <w:kern w:val="0"/>
          <w:sz w:val="24"/>
          <w:szCs w:val="24"/>
        </w:rPr>
        <w:t>保证电梯供电、消防、防雷、通风等系统安全可靠，</w:t>
      </w:r>
      <w:r>
        <w:rPr>
          <w:rFonts w:hint="eastAsia" w:ascii="仿宋_GB2312" w:hAnsi="宋体" w:eastAsia="仿宋_GB2312" w:cs="宋体"/>
          <w:kern w:val="0"/>
          <w:sz w:val="24"/>
          <w:szCs w:val="24"/>
        </w:rPr>
        <w:t>满足国家标准规定。</w:t>
      </w:r>
    </w:p>
    <w:p w14:paraId="2FA52D1A">
      <w:pPr>
        <w:spacing w:line="380" w:lineRule="exact"/>
        <w:ind w:firstLine="480" w:firstLineChars="200"/>
        <w:rPr>
          <w:rFonts w:hint="eastAsia" w:ascii="仿宋_GB2312" w:hAnsi="宋体" w:eastAsia="仿宋_GB2312" w:cs="宋体"/>
          <w:kern w:val="0"/>
          <w:sz w:val="24"/>
          <w:szCs w:val="24"/>
        </w:rPr>
      </w:pPr>
      <w:r>
        <w:rPr>
          <w:rFonts w:ascii="仿宋_GB2312" w:eastAsia="仿宋_GB2312"/>
          <w:sz w:val="24"/>
          <w:szCs w:val="24"/>
        </w:rPr>
        <w:t>7.2.</w:t>
      </w:r>
      <w:r>
        <w:rPr>
          <w:rFonts w:hint="eastAsia" w:ascii="仿宋_GB2312" w:eastAsia="仿宋_GB2312"/>
          <w:sz w:val="24"/>
          <w:szCs w:val="24"/>
        </w:rPr>
        <w:t>8应认真审核乙方</w:t>
      </w:r>
      <w:r>
        <w:rPr>
          <w:rFonts w:hint="eastAsia" w:ascii="仿宋_GB2312" w:hAnsi="宋体" w:eastAsia="仿宋_GB2312" w:cs="宋体"/>
          <w:kern w:val="0"/>
          <w:sz w:val="24"/>
          <w:szCs w:val="24"/>
        </w:rPr>
        <w:t>书面提出的更换电梯零部件要求，并在乙方书面要求的合理期限内书面予以答复。</w:t>
      </w:r>
    </w:p>
    <w:p w14:paraId="396AF6DB">
      <w:pPr>
        <w:spacing w:line="380" w:lineRule="exact"/>
        <w:ind w:firstLine="480" w:firstLineChars="200"/>
        <w:rPr>
          <w:rFonts w:hint="eastAsia" w:ascii="仿宋_GB2312" w:hAnsi="宋体" w:eastAsia="仿宋_GB2312" w:cs="宋体"/>
          <w:kern w:val="0"/>
          <w:sz w:val="24"/>
          <w:szCs w:val="24"/>
        </w:rPr>
      </w:pPr>
      <w:r>
        <w:rPr>
          <w:rFonts w:ascii="仿宋_GB2312" w:hAnsi="宋体" w:eastAsia="仿宋_GB2312" w:cs="宋体"/>
          <w:kern w:val="0"/>
          <w:sz w:val="24"/>
          <w:szCs w:val="24"/>
        </w:rPr>
        <w:t>7.2.</w:t>
      </w:r>
      <w:r>
        <w:rPr>
          <w:rFonts w:hint="eastAsia" w:ascii="仿宋_GB2312" w:hAnsi="宋体" w:eastAsia="仿宋_GB2312" w:cs="宋体"/>
          <w:kern w:val="0"/>
          <w:sz w:val="24"/>
          <w:szCs w:val="24"/>
        </w:rPr>
        <w:t>9电梯因不可抗拒因素（如战争、火灾、水浸、风暴和地震等）所造成设备损坏、丢失的，自行承担全部责任。</w:t>
      </w:r>
    </w:p>
    <w:p w14:paraId="717F943B">
      <w:pPr>
        <w:spacing w:line="380" w:lineRule="exact"/>
        <w:ind w:firstLine="482" w:firstLineChars="200"/>
        <w:rPr>
          <w:rFonts w:hint="eastAsia" w:ascii="仿宋_GB2312" w:eastAsia="仿宋_GB2312"/>
          <w:b/>
          <w:sz w:val="24"/>
          <w:szCs w:val="24"/>
        </w:rPr>
      </w:pPr>
      <w:r>
        <w:rPr>
          <w:rFonts w:hint="eastAsia" w:ascii="仿宋_GB2312" w:eastAsia="仿宋_GB2312"/>
          <w:b/>
          <w:sz w:val="24"/>
          <w:szCs w:val="24"/>
        </w:rPr>
        <w:t xml:space="preserve">第八条  </w:t>
      </w:r>
      <w:r>
        <w:rPr>
          <w:rFonts w:hint="eastAsia" w:ascii="仿宋_GB2312" w:eastAsia="仿宋_GB2312"/>
          <w:sz w:val="24"/>
          <w:szCs w:val="24"/>
        </w:rPr>
        <w:t>乙方权利、义务</w:t>
      </w:r>
    </w:p>
    <w:p w14:paraId="2B9198E7">
      <w:pPr>
        <w:spacing w:line="380" w:lineRule="exact"/>
        <w:ind w:firstLine="482" w:firstLineChars="200"/>
        <w:rPr>
          <w:rFonts w:hint="eastAsia" w:ascii="仿宋_GB2312" w:eastAsia="仿宋_GB2312"/>
          <w:b/>
          <w:sz w:val="24"/>
          <w:szCs w:val="24"/>
        </w:rPr>
      </w:pPr>
      <w:r>
        <w:rPr>
          <w:rFonts w:hint="eastAsia" w:ascii="仿宋_GB2312" w:hAnsi="宋体" w:eastAsia="仿宋_GB2312" w:cs="黑体"/>
          <w:b/>
          <w:kern w:val="0"/>
          <w:sz w:val="24"/>
          <w:szCs w:val="24"/>
        </w:rPr>
        <w:t>8</w:t>
      </w:r>
      <w:r>
        <w:rPr>
          <w:rFonts w:ascii="仿宋_GB2312" w:hAnsi="宋体" w:eastAsia="仿宋_GB2312" w:cs="黑体"/>
          <w:b/>
          <w:kern w:val="0"/>
          <w:sz w:val="24"/>
          <w:szCs w:val="24"/>
        </w:rPr>
        <w:t>.1</w:t>
      </w:r>
      <w:r>
        <w:rPr>
          <w:rFonts w:hint="eastAsia" w:ascii="仿宋_GB2312" w:eastAsia="仿宋_GB2312"/>
          <w:b/>
          <w:sz w:val="24"/>
          <w:szCs w:val="24"/>
        </w:rPr>
        <w:t>权利</w:t>
      </w:r>
    </w:p>
    <w:p w14:paraId="332F463D">
      <w:pPr>
        <w:spacing w:line="380" w:lineRule="exact"/>
        <w:ind w:firstLine="540" w:firstLineChars="225"/>
        <w:rPr>
          <w:rFonts w:hint="eastAsia" w:ascii="仿宋_GB2312" w:eastAsia="仿宋_GB2312"/>
          <w:sz w:val="24"/>
          <w:szCs w:val="24"/>
        </w:rPr>
      </w:pPr>
      <w:r>
        <w:rPr>
          <w:rFonts w:ascii="仿宋_GB2312" w:eastAsia="仿宋_GB2312"/>
          <w:sz w:val="24"/>
          <w:szCs w:val="24"/>
        </w:rPr>
        <w:t>8.1.1</w:t>
      </w:r>
      <w:r>
        <w:rPr>
          <w:rFonts w:hint="eastAsia" w:ascii="仿宋_GB2312" w:eastAsia="仿宋_GB2312"/>
          <w:sz w:val="24"/>
          <w:szCs w:val="24"/>
        </w:rPr>
        <w:t>有权要求甲方提供维保所需的工作环境，查询电梯相关资料。</w:t>
      </w:r>
    </w:p>
    <w:p w14:paraId="4822E16B">
      <w:pPr>
        <w:spacing w:line="380" w:lineRule="exact"/>
        <w:ind w:firstLine="540" w:firstLineChars="225"/>
        <w:rPr>
          <w:rFonts w:hint="eastAsia" w:ascii="仿宋_GB2312" w:eastAsia="仿宋_GB2312"/>
          <w:sz w:val="24"/>
          <w:szCs w:val="24"/>
        </w:rPr>
      </w:pPr>
      <w:r>
        <w:rPr>
          <w:rFonts w:ascii="仿宋_GB2312" w:eastAsia="仿宋_GB2312"/>
          <w:sz w:val="24"/>
          <w:szCs w:val="24"/>
        </w:rPr>
        <w:t>8.1.2</w:t>
      </w:r>
      <w:r>
        <w:rPr>
          <w:rFonts w:hint="eastAsia" w:ascii="仿宋_GB2312" w:eastAsia="仿宋_GB2312"/>
          <w:sz w:val="24"/>
          <w:szCs w:val="24"/>
        </w:rPr>
        <w:t>当电梯存在安全隐患时，乙方有权采取停梯措施及阻止冒险作业的权利。</w:t>
      </w:r>
    </w:p>
    <w:p w14:paraId="4CE707A0">
      <w:pPr>
        <w:spacing w:line="380" w:lineRule="exact"/>
        <w:ind w:firstLine="540" w:firstLineChars="225"/>
        <w:rPr>
          <w:rFonts w:hint="eastAsia" w:ascii="仿宋_GB2312" w:eastAsia="仿宋_GB2312"/>
          <w:sz w:val="24"/>
          <w:szCs w:val="24"/>
        </w:rPr>
      </w:pPr>
      <w:r>
        <w:rPr>
          <w:rFonts w:ascii="仿宋_GB2312" w:eastAsia="仿宋_GB2312"/>
          <w:sz w:val="24"/>
          <w:szCs w:val="24"/>
        </w:rPr>
        <w:t>8.1.3</w:t>
      </w:r>
      <w:r>
        <w:rPr>
          <w:rFonts w:hint="eastAsia" w:ascii="仿宋_GB2312" w:eastAsia="仿宋_GB2312"/>
          <w:sz w:val="24"/>
          <w:szCs w:val="24"/>
        </w:rPr>
        <w:t>有权拒绝甲方提出的影响电梯安全运行的要求。</w:t>
      </w:r>
    </w:p>
    <w:p w14:paraId="4F88A4A2">
      <w:pPr>
        <w:spacing w:line="380" w:lineRule="exact"/>
        <w:ind w:firstLine="540" w:firstLineChars="225"/>
        <w:rPr>
          <w:rFonts w:hint="eastAsia" w:ascii="仿宋_GB2312" w:eastAsia="仿宋_GB2312"/>
          <w:sz w:val="24"/>
          <w:szCs w:val="24"/>
        </w:rPr>
      </w:pPr>
      <w:r>
        <w:rPr>
          <w:rFonts w:ascii="仿宋_GB2312" w:eastAsia="仿宋_GB2312"/>
          <w:sz w:val="24"/>
          <w:szCs w:val="24"/>
        </w:rPr>
        <w:t>8.1.4</w:t>
      </w:r>
      <w:r>
        <w:rPr>
          <w:rFonts w:hint="eastAsia" w:ascii="仿宋_GB2312" w:eastAsia="仿宋_GB2312"/>
          <w:sz w:val="24"/>
          <w:szCs w:val="24"/>
        </w:rPr>
        <w:t>有权对甲方不履行政府规定的检验情况进行监督及申诉。</w:t>
      </w:r>
    </w:p>
    <w:p w14:paraId="5602F0F5">
      <w:pPr>
        <w:spacing w:line="380" w:lineRule="exact"/>
        <w:ind w:firstLine="482" w:firstLineChars="200"/>
        <w:rPr>
          <w:rFonts w:ascii="仿宋_GB2312" w:eastAsia="仿宋_GB2312"/>
          <w:b/>
          <w:sz w:val="24"/>
          <w:szCs w:val="24"/>
        </w:rPr>
      </w:pPr>
      <w:r>
        <w:rPr>
          <w:rFonts w:hint="eastAsia" w:ascii="仿宋_GB2312" w:eastAsia="仿宋_GB2312"/>
          <w:b/>
          <w:sz w:val="24"/>
          <w:szCs w:val="24"/>
        </w:rPr>
        <w:t>8</w:t>
      </w:r>
      <w:r>
        <w:rPr>
          <w:rFonts w:ascii="仿宋_GB2312" w:eastAsia="仿宋_GB2312"/>
          <w:b/>
          <w:sz w:val="24"/>
          <w:szCs w:val="24"/>
        </w:rPr>
        <w:t>.2</w:t>
      </w:r>
      <w:r>
        <w:rPr>
          <w:rFonts w:hint="eastAsia" w:ascii="仿宋_GB2312" w:eastAsia="仿宋_GB2312"/>
          <w:b/>
          <w:sz w:val="24"/>
          <w:szCs w:val="24"/>
        </w:rPr>
        <w:t>义务</w:t>
      </w:r>
    </w:p>
    <w:p w14:paraId="269C1FD2">
      <w:pPr>
        <w:spacing w:line="380" w:lineRule="exact"/>
        <w:rPr>
          <w:rFonts w:hint="eastAsia" w:ascii="仿宋_GB2312" w:eastAsia="仿宋_GB2312"/>
          <w:sz w:val="24"/>
          <w:szCs w:val="24"/>
        </w:rPr>
      </w:pPr>
      <w:r>
        <w:rPr>
          <w:rFonts w:hint="eastAsia" w:ascii="仿宋_GB2312" w:eastAsia="仿宋_GB2312"/>
          <w:b/>
          <w:sz w:val="24"/>
          <w:szCs w:val="24"/>
        </w:rPr>
        <w:t xml:space="preserve"> </w:t>
      </w:r>
      <w:r>
        <w:rPr>
          <w:rFonts w:ascii="仿宋_GB2312" w:eastAsia="仿宋_GB2312"/>
          <w:b/>
          <w:sz w:val="24"/>
          <w:szCs w:val="24"/>
        </w:rPr>
        <w:t xml:space="preserve">   </w:t>
      </w:r>
      <w:r>
        <w:rPr>
          <w:rFonts w:ascii="仿宋_GB2312" w:eastAsia="仿宋_GB2312"/>
          <w:sz w:val="24"/>
          <w:szCs w:val="24"/>
        </w:rPr>
        <w:t>8.2.1</w:t>
      </w:r>
      <w:r>
        <w:rPr>
          <w:rFonts w:hint="eastAsia" w:ascii="仿宋_GB2312" w:hAnsi="宋体" w:eastAsia="仿宋_GB2312" w:cs="宋体"/>
          <w:kern w:val="0"/>
          <w:sz w:val="24"/>
          <w:szCs w:val="24"/>
        </w:rPr>
        <w:t>乙方实施维保后的电梯应符合安全技术规范、强制性标准和电梯制造单位的技术要求。</w:t>
      </w:r>
    </w:p>
    <w:p w14:paraId="225ABB38">
      <w:pPr>
        <w:spacing w:line="380" w:lineRule="exact"/>
        <w:ind w:firstLine="480" w:firstLineChars="200"/>
        <w:rPr>
          <w:rFonts w:hint="eastAsia" w:ascii="仿宋_GB2312" w:hAnsi="宋体" w:eastAsia="仿宋_GB2312" w:cs="宋体"/>
          <w:kern w:val="0"/>
          <w:sz w:val="24"/>
          <w:szCs w:val="24"/>
        </w:rPr>
      </w:pPr>
      <w:r>
        <w:rPr>
          <w:rFonts w:ascii="仿宋_GB2312" w:hAnsi="宋体" w:eastAsia="仿宋_GB2312" w:cs="宋体"/>
          <w:kern w:val="0"/>
          <w:sz w:val="24"/>
          <w:szCs w:val="24"/>
        </w:rPr>
        <w:t>8.2.2</w:t>
      </w:r>
      <w:r>
        <w:rPr>
          <w:rFonts w:hint="eastAsia" w:ascii="仿宋_GB2312" w:hAnsi="宋体" w:eastAsia="仿宋_GB2312" w:cs="宋体"/>
          <w:kern w:val="0"/>
          <w:sz w:val="24"/>
          <w:szCs w:val="24"/>
        </w:rPr>
        <w:t>乙方提供24小时的紧急救援、故障抢修服务， 24小时紧急救援、故障抢修服务热线电话：</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u w:val="single"/>
          <w:lang w:val="en-US" w:eastAsia="zh-CN"/>
        </w:rPr>
        <w:t xml:space="preserve">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 。当电梯发生伤亡事故或困人故障，乙方应在接到甲方通知后30分钟内赶到现场实施紧急救援；电梯发生其他故障，乙方应在接到甲方通知后</w:t>
      </w:r>
      <w:r>
        <w:rPr>
          <w:rFonts w:hint="eastAsia" w:ascii="仿宋_GB2312" w:hAnsi="宋体" w:eastAsia="仿宋_GB2312" w:cs="宋体"/>
          <w:kern w:val="0"/>
          <w:sz w:val="24"/>
          <w:szCs w:val="24"/>
          <w:u w:val="single"/>
        </w:rPr>
        <w:t xml:space="preserve"> 30 </w:t>
      </w:r>
      <w:r>
        <w:rPr>
          <w:rFonts w:hint="eastAsia" w:ascii="仿宋_GB2312" w:hAnsi="宋体" w:eastAsia="仿宋_GB2312" w:cs="宋体"/>
          <w:kern w:val="0"/>
          <w:sz w:val="24"/>
          <w:szCs w:val="24"/>
        </w:rPr>
        <w:t>分钟内赶到现场实施抢修。维修期间必须做好相关防护措施，如维修超过24小时的，需以书面形式通知甲方，并注明故障原因，处理时间。对电梯发生的故障情况，及时进行详细的记录。</w:t>
      </w:r>
    </w:p>
    <w:p w14:paraId="359CFFAB">
      <w:pPr>
        <w:spacing w:line="380" w:lineRule="exact"/>
        <w:ind w:left="1" w:firstLine="480" w:firstLineChars="200"/>
        <w:rPr>
          <w:rFonts w:hint="eastAsia" w:ascii="仿宋_GB2312" w:eastAsia="仿宋_GB2312"/>
          <w:sz w:val="24"/>
          <w:szCs w:val="24"/>
        </w:rPr>
      </w:pPr>
      <w:r>
        <w:rPr>
          <w:rFonts w:ascii="仿宋_GB2312" w:hAnsi="宋体" w:eastAsia="仿宋_GB2312" w:cs="宋体"/>
          <w:kern w:val="0"/>
          <w:sz w:val="24"/>
          <w:szCs w:val="24"/>
        </w:rPr>
        <w:t>8.2.3</w:t>
      </w:r>
      <w:r>
        <w:rPr>
          <w:rFonts w:hint="eastAsia" w:ascii="仿宋_GB2312" w:eastAsia="仿宋_GB2312"/>
          <w:sz w:val="24"/>
          <w:szCs w:val="24"/>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仿宋_GB2312" w:eastAsia="仿宋_GB2312"/>
          <w:sz w:val="24"/>
          <w:szCs w:val="24"/>
          <w:u w:val="single"/>
        </w:rPr>
        <w:t xml:space="preserve"> 5 </w:t>
      </w:r>
      <w:r>
        <w:rPr>
          <w:rFonts w:hint="eastAsia" w:ascii="仿宋_GB2312" w:eastAsia="仿宋_GB2312"/>
          <w:sz w:val="24"/>
          <w:szCs w:val="24"/>
        </w:rPr>
        <w:t xml:space="preserve">日书面通知甲方并经甲方书面同意后方可调整，但应保证保养时间间隔不得超过15日。 </w:t>
      </w:r>
    </w:p>
    <w:p w14:paraId="25708FDF">
      <w:pPr>
        <w:spacing w:line="380" w:lineRule="exact"/>
        <w:ind w:firstLine="480" w:firstLineChars="200"/>
        <w:rPr>
          <w:rFonts w:hint="eastAsia" w:ascii="仿宋_GB2312" w:eastAsia="仿宋_GB2312"/>
          <w:sz w:val="24"/>
          <w:szCs w:val="24"/>
        </w:rPr>
      </w:pPr>
      <w:r>
        <w:rPr>
          <w:rFonts w:ascii="仿宋_GB2312" w:eastAsia="仿宋_GB2312"/>
          <w:sz w:val="24"/>
          <w:szCs w:val="24"/>
        </w:rPr>
        <w:t>8.2.4</w:t>
      </w:r>
      <w:r>
        <w:rPr>
          <w:rFonts w:hint="eastAsia" w:ascii="仿宋_GB2312" w:eastAsia="仿宋_GB2312"/>
          <w:sz w:val="24"/>
          <w:szCs w:val="24"/>
        </w:rPr>
        <w:t>本合同签订</w:t>
      </w:r>
      <w:r>
        <w:rPr>
          <w:rFonts w:hint="eastAsia" w:ascii="仿宋_GB2312" w:eastAsia="仿宋_GB2312"/>
          <w:sz w:val="24"/>
          <w:szCs w:val="24"/>
          <w:u w:val="single"/>
        </w:rPr>
        <w:t xml:space="preserve"> 5 </w:t>
      </w:r>
      <w:r>
        <w:rPr>
          <w:rFonts w:hint="eastAsia" w:ascii="仿宋_GB2312" w:eastAsia="仿宋_GB2312"/>
          <w:sz w:val="24"/>
          <w:szCs w:val="24"/>
        </w:rPr>
        <w:t>天内，乙方需以书面形式将委托到甲方现场作业人员的身份证复印件、</w:t>
      </w:r>
      <w:r>
        <w:rPr>
          <w:rFonts w:hint="eastAsia" w:ascii="仿宋_GB2312" w:hAnsi="_x000B_" w:eastAsia="仿宋_GB2312" w:cs="宋体"/>
          <w:kern w:val="0"/>
          <w:sz w:val="24"/>
          <w:szCs w:val="24"/>
        </w:rPr>
        <w:t>《特种设备作业人员证》（电梯维修）</w:t>
      </w:r>
      <w:r>
        <w:rPr>
          <w:rFonts w:hint="eastAsia" w:ascii="仿宋_GB2312" w:eastAsia="仿宋_GB2312"/>
          <w:sz w:val="24"/>
          <w:szCs w:val="24"/>
        </w:rPr>
        <w:t>复印件及其他有效证明文件递交甲方存档，原件备查。若乙方出现更换现场作业人员的情况，须以书面的形式告知甲方，并提供替换人员的身份证复印件、</w:t>
      </w:r>
      <w:r>
        <w:rPr>
          <w:rFonts w:hint="eastAsia" w:ascii="仿宋_GB2312" w:hAnsi="_x000B_" w:eastAsia="仿宋_GB2312" w:cs="宋体"/>
          <w:kern w:val="0"/>
          <w:sz w:val="24"/>
          <w:szCs w:val="24"/>
        </w:rPr>
        <w:t>《特种设备作业人员证》（电梯维修）</w:t>
      </w:r>
      <w:r>
        <w:rPr>
          <w:rFonts w:hint="eastAsia" w:ascii="仿宋_GB2312" w:eastAsia="仿宋_GB2312"/>
          <w:sz w:val="24"/>
          <w:szCs w:val="24"/>
        </w:rPr>
        <w:t>复印件及其他有效证明文件，原件备查。</w:t>
      </w:r>
    </w:p>
    <w:p w14:paraId="352862D0">
      <w:pPr>
        <w:spacing w:line="380" w:lineRule="exact"/>
        <w:ind w:firstLine="480" w:firstLineChars="200"/>
        <w:rPr>
          <w:rFonts w:hint="eastAsia" w:ascii="仿宋_GB2312" w:eastAsia="仿宋_GB2312"/>
          <w:sz w:val="24"/>
          <w:szCs w:val="24"/>
        </w:rPr>
      </w:pPr>
      <w:r>
        <w:rPr>
          <w:rFonts w:ascii="仿宋_GB2312" w:hAnsi="宋体" w:eastAsia="仿宋_GB2312" w:cs="宋体"/>
          <w:kern w:val="0"/>
          <w:sz w:val="24"/>
          <w:szCs w:val="24"/>
        </w:rPr>
        <w:t>8.2.5</w:t>
      </w:r>
      <w:r>
        <w:rPr>
          <w:rFonts w:hint="eastAsia" w:ascii="仿宋_GB2312" w:hAnsi="宋体" w:eastAsia="仿宋_GB2312" w:cs="宋体"/>
          <w:kern w:val="0"/>
          <w:sz w:val="24"/>
          <w:szCs w:val="24"/>
        </w:rPr>
        <w:t>现场作业人员</w:t>
      </w:r>
      <w:r>
        <w:rPr>
          <w:rFonts w:hint="eastAsia" w:ascii="仿宋_GB2312" w:hAnsi="_x000B_" w:eastAsia="仿宋_GB2312" w:cs="宋体"/>
          <w:kern w:val="0"/>
          <w:sz w:val="24"/>
          <w:szCs w:val="24"/>
        </w:rPr>
        <w:t>应当取得相应的《特种设备作业人员证》及具备相应的技术水平。其培训、安全、工具、保险均应由乙方负责。乙方必须严格执行国家特种设备有关安全作业标准，确保人身及电梯设备安全前提下方可作业，由于乙方违规操作造成事故或损失，乙方除了承担全部责任外，还需要赔偿甲方所遭受的损失。</w:t>
      </w:r>
      <w:r>
        <w:rPr>
          <w:rFonts w:hint="eastAsia" w:ascii="仿宋_GB2312" w:eastAsia="仿宋_GB2312"/>
          <w:sz w:val="24"/>
          <w:szCs w:val="24"/>
        </w:rPr>
        <w:t>为有效实施保养计划，乙方应安排熟悉所维保电梯原理、结构、性能、安全要求的特种设备作业人员负责维保工作。并督促其严格按照电梯使用要求、安全及技术规范进行维保。</w:t>
      </w:r>
    </w:p>
    <w:p w14:paraId="6527A6E2">
      <w:pPr>
        <w:spacing w:line="380" w:lineRule="exact"/>
        <w:ind w:firstLine="480" w:firstLineChars="200"/>
        <w:rPr>
          <w:rFonts w:hint="eastAsia" w:ascii="仿宋_GB2312" w:hAnsi="宋体" w:eastAsia="仿宋_GB2312" w:cs="宋体"/>
          <w:kern w:val="0"/>
          <w:sz w:val="24"/>
          <w:szCs w:val="24"/>
        </w:rPr>
      </w:pPr>
      <w:r>
        <w:rPr>
          <w:rFonts w:ascii="仿宋_GB2312" w:eastAsia="仿宋_GB2312"/>
          <w:sz w:val="24"/>
          <w:szCs w:val="24"/>
        </w:rPr>
        <w:t>8.2.6</w:t>
      </w:r>
      <w:r>
        <w:rPr>
          <w:rFonts w:hint="eastAsia" w:ascii="仿宋_GB2312" w:hAnsi="宋体" w:eastAsia="仿宋_GB2312" w:cs="宋体"/>
          <w:kern w:val="0"/>
          <w:sz w:val="24"/>
          <w:szCs w:val="24"/>
        </w:rPr>
        <w:t>作业过程中应服从甲方公共管理制度及现场安全管理，落实现场安全防护措施，保证作业安全。</w:t>
      </w:r>
      <w:r>
        <w:rPr>
          <w:rFonts w:hint="eastAsia" w:ascii="仿宋_GB2312" w:hAnsi="_x000B_" w:eastAsia="仿宋_GB2312" w:cs="宋体"/>
          <w:kern w:val="0"/>
          <w:sz w:val="24"/>
          <w:szCs w:val="24"/>
        </w:rPr>
        <w:t>需要安全监护作业的内容应书面告知甲方，作业时，作业人员不得少于二人。</w:t>
      </w:r>
    </w:p>
    <w:p w14:paraId="5E54EFA2">
      <w:pPr>
        <w:spacing w:line="380" w:lineRule="exact"/>
        <w:ind w:firstLine="480" w:firstLineChars="200"/>
        <w:rPr>
          <w:rFonts w:hint="eastAsia" w:ascii="仿宋_GB2312" w:eastAsia="仿宋_GB2312"/>
          <w:sz w:val="24"/>
          <w:szCs w:val="24"/>
        </w:rPr>
      </w:pPr>
      <w:r>
        <w:rPr>
          <w:rFonts w:ascii="仿宋_GB2312" w:hAnsi="宋体" w:eastAsia="仿宋_GB2312" w:cs="宋体"/>
          <w:kern w:val="0"/>
          <w:sz w:val="24"/>
          <w:szCs w:val="24"/>
        </w:rPr>
        <w:t>8.2.7</w:t>
      </w:r>
      <w:r>
        <w:rPr>
          <w:rFonts w:hint="eastAsia" w:ascii="仿宋_GB2312" w:hAnsi="宋体" w:eastAsia="仿宋_GB2312" w:cs="宋体"/>
          <w:kern w:val="0"/>
          <w:sz w:val="24"/>
          <w:szCs w:val="24"/>
        </w:rPr>
        <w:t>现场需采取停梯措施时，应立即通知甲方并及时组织抢修。</w:t>
      </w:r>
    </w:p>
    <w:p w14:paraId="139D852F">
      <w:pPr>
        <w:spacing w:line="380" w:lineRule="exact"/>
        <w:ind w:firstLine="480" w:firstLineChars="200"/>
        <w:rPr>
          <w:rFonts w:hint="eastAsia" w:ascii="仿宋_GB2312" w:eastAsia="仿宋_GB2312"/>
          <w:sz w:val="24"/>
          <w:szCs w:val="24"/>
        </w:rPr>
      </w:pPr>
      <w:r>
        <w:rPr>
          <w:rFonts w:ascii="仿宋_GB2312" w:hAnsi="宋体" w:eastAsia="仿宋_GB2312" w:cs="宋体"/>
          <w:kern w:val="0"/>
          <w:sz w:val="24"/>
          <w:szCs w:val="24"/>
        </w:rPr>
        <w:t>8.2.8</w:t>
      </w:r>
      <w:r>
        <w:rPr>
          <w:rFonts w:hint="eastAsia" w:ascii="仿宋_GB2312" w:eastAsia="仿宋_GB2312"/>
          <w:sz w:val="24"/>
          <w:szCs w:val="24"/>
        </w:rPr>
        <w:t>根据甲方的故障统计记录，乙方应至少每季度提出一次故障分析报告。报告中应包含电梯故障的统计分析、整改措施和预防措施，以及有关电梯使用管理的合理化建议。</w:t>
      </w:r>
    </w:p>
    <w:p w14:paraId="22513B18">
      <w:pPr>
        <w:spacing w:line="380" w:lineRule="exact"/>
        <w:ind w:firstLine="480" w:firstLineChars="200"/>
        <w:rPr>
          <w:rFonts w:hint="eastAsia" w:ascii="仿宋_GB2312" w:eastAsia="仿宋_GB2312"/>
          <w:sz w:val="24"/>
          <w:szCs w:val="24"/>
        </w:rPr>
      </w:pPr>
      <w:r>
        <w:rPr>
          <w:rFonts w:ascii="仿宋_GB2312" w:eastAsia="仿宋_GB2312"/>
          <w:sz w:val="24"/>
          <w:szCs w:val="24"/>
        </w:rPr>
        <w:t>8.2.9</w:t>
      </w:r>
      <w:r>
        <w:rPr>
          <w:rFonts w:hint="eastAsia" w:ascii="仿宋_GB2312" w:eastAsia="仿宋_GB2312"/>
          <w:sz w:val="24"/>
          <w:szCs w:val="24"/>
        </w:rPr>
        <w:t>协助甲方建立健全安全管理制度、安全技术档案、应急救援预案，配合甲方开展应急救援演练。</w:t>
      </w:r>
    </w:p>
    <w:p w14:paraId="008AE310">
      <w:pPr>
        <w:spacing w:line="380" w:lineRule="exact"/>
        <w:ind w:firstLine="480" w:firstLineChars="200"/>
        <w:rPr>
          <w:rFonts w:hint="eastAsia" w:ascii="仿宋_GB2312" w:eastAsia="仿宋_GB2312"/>
          <w:sz w:val="24"/>
          <w:szCs w:val="24"/>
        </w:rPr>
      </w:pPr>
      <w:r>
        <w:rPr>
          <w:rFonts w:ascii="仿宋_GB2312" w:eastAsia="仿宋_GB2312"/>
          <w:sz w:val="24"/>
          <w:szCs w:val="24"/>
        </w:rPr>
        <w:t>8.2.10</w:t>
      </w:r>
      <w:r>
        <w:rPr>
          <w:rFonts w:hint="eastAsia" w:ascii="仿宋_GB2312" w:hAnsi="宋体" w:eastAsia="仿宋_GB2312" w:cs="宋体"/>
          <w:color w:val="000000"/>
          <w:kern w:val="0"/>
          <w:sz w:val="24"/>
          <w:szCs w:val="24"/>
        </w:rPr>
        <w:t>电梯安全检验合格有效期届满前</w:t>
      </w:r>
      <w:r>
        <w:rPr>
          <w:rFonts w:hint="eastAsia" w:ascii="仿宋_GB2312" w:hAnsi="宋体" w:eastAsia="仿宋_GB2312" w:cs="ËÎÌå"/>
          <w:color w:val="000000"/>
          <w:kern w:val="0"/>
          <w:sz w:val="24"/>
          <w:szCs w:val="24"/>
        </w:rPr>
        <w:t>一</w:t>
      </w:r>
      <w:r>
        <w:rPr>
          <w:rFonts w:hint="eastAsia" w:ascii="仿宋_GB2312" w:hAnsi="宋体" w:eastAsia="仿宋_GB2312" w:cs="宋体"/>
          <w:color w:val="000000"/>
          <w:kern w:val="0"/>
          <w:sz w:val="24"/>
          <w:szCs w:val="24"/>
        </w:rPr>
        <w:t>个月，乙方应全权代表甲方向特种设备检验机构提出定期检验申请。如因逾期产生的处罚或在此期间产生的安全问题，由乙方全权负责。</w:t>
      </w:r>
    </w:p>
    <w:p w14:paraId="1415F8D6">
      <w:pPr>
        <w:spacing w:line="380" w:lineRule="exact"/>
        <w:ind w:firstLine="480" w:firstLineChars="200"/>
        <w:rPr>
          <w:rFonts w:hint="eastAsia" w:ascii="仿宋_GB2312" w:eastAsia="仿宋_GB2312"/>
          <w:sz w:val="24"/>
          <w:szCs w:val="24"/>
        </w:rPr>
      </w:pPr>
      <w:r>
        <w:rPr>
          <w:rFonts w:ascii="仿宋_GB2312" w:hAnsi="宋体" w:eastAsia="仿宋_GB2312" w:cs="宋体"/>
          <w:kern w:val="0"/>
          <w:sz w:val="24"/>
          <w:szCs w:val="24"/>
        </w:rPr>
        <w:t>8.2.1</w:t>
      </w:r>
      <w:r>
        <w:rPr>
          <w:rFonts w:hint="eastAsia" w:ascii="仿宋_GB2312" w:hAnsi="宋体" w:eastAsia="仿宋_GB2312" w:cs="宋体"/>
          <w:kern w:val="0"/>
          <w:sz w:val="24"/>
          <w:szCs w:val="24"/>
          <w:lang w:val="en-US" w:eastAsia="zh-CN"/>
        </w:rPr>
        <w:t>1</w:t>
      </w:r>
      <w:r>
        <w:rPr>
          <w:rFonts w:hint="eastAsia" w:ascii="仿宋_GB2312" w:eastAsia="仿宋_GB2312"/>
          <w:sz w:val="24"/>
          <w:szCs w:val="24"/>
        </w:rPr>
        <w:t>不得以任何形式将维保工作分包、转包。</w:t>
      </w:r>
    </w:p>
    <w:p w14:paraId="35D389DE">
      <w:pPr>
        <w:spacing w:line="380" w:lineRule="exact"/>
        <w:ind w:firstLine="480" w:firstLineChars="2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lang w:val="en-US" w:eastAsia="zh-CN"/>
        </w:rPr>
        <w:t>.</w:t>
      </w:r>
      <w:r>
        <w:rPr>
          <w:rFonts w:hint="eastAsia" w:ascii="仿宋_GB2312" w:eastAsia="仿宋_GB2312"/>
          <w:sz w:val="24"/>
          <w:szCs w:val="24"/>
        </w:rPr>
        <w:t>2</w:t>
      </w:r>
      <w:r>
        <w:rPr>
          <w:rFonts w:ascii="仿宋_GB2312" w:eastAsia="仿宋_GB2312"/>
          <w:sz w:val="24"/>
          <w:szCs w:val="24"/>
        </w:rPr>
        <w:t>.1</w:t>
      </w:r>
      <w:r>
        <w:rPr>
          <w:rFonts w:hint="eastAsia" w:ascii="仿宋_GB2312" w:eastAsia="仿宋_GB2312"/>
          <w:sz w:val="24"/>
          <w:szCs w:val="24"/>
          <w:lang w:val="en-US" w:eastAsia="zh-CN"/>
        </w:rPr>
        <w:t>2</w:t>
      </w:r>
      <w:r>
        <w:rPr>
          <w:rFonts w:hint="eastAsia" w:ascii="仿宋_GB2312" w:eastAsia="仿宋_GB2312"/>
          <w:sz w:val="24"/>
          <w:szCs w:val="24"/>
        </w:rPr>
        <w:t>按照深圳市主管部门的要求，将“一承诺、八明示”的内容在电梯及自动扶梯的显著位置予以公示。</w:t>
      </w:r>
    </w:p>
    <w:p w14:paraId="2587051B">
      <w:pPr>
        <w:spacing w:line="380" w:lineRule="exact"/>
        <w:ind w:firstLine="480" w:firstLineChars="200"/>
        <w:rPr>
          <w:rFonts w:ascii="仿宋_GB2312" w:hAnsi="宋体" w:eastAsia="仿宋_GB2312" w:cs="宋体"/>
          <w:color w:val="000000"/>
          <w:kern w:val="0"/>
          <w:sz w:val="24"/>
          <w:szCs w:val="24"/>
        </w:rPr>
      </w:pPr>
      <w:r>
        <w:rPr>
          <w:rFonts w:ascii="仿宋_GB2312" w:eastAsia="仿宋_GB2312"/>
          <w:sz w:val="24"/>
          <w:szCs w:val="24"/>
        </w:rPr>
        <w:t>8.2.1</w:t>
      </w:r>
      <w:r>
        <w:rPr>
          <w:rFonts w:hint="eastAsia" w:ascii="仿宋_GB2312" w:eastAsia="仿宋_GB2312"/>
          <w:sz w:val="24"/>
          <w:szCs w:val="24"/>
          <w:lang w:val="en-US" w:eastAsia="zh-CN"/>
        </w:rPr>
        <w:t>3</w:t>
      </w:r>
      <w:r>
        <w:rPr>
          <w:rFonts w:hint="eastAsia" w:ascii="仿宋_GB2312" w:eastAsia="仿宋_GB2312"/>
          <w:sz w:val="24"/>
          <w:szCs w:val="24"/>
        </w:rPr>
        <w:t>乙方自行配备工作所需的工具及设备，维修保养时必须按要求在电梯口张贴“停梯检修”警示标识以及设置安</w:t>
      </w:r>
      <w:r>
        <w:rPr>
          <w:rFonts w:hint="eastAsia" w:ascii="仿宋_GB2312" w:hAnsi="宋体" w:eastAsia="仿宋_GB2312" w:cs="宋体"/>
          <w:color w:val="000000"/>
          <w:kern w:val="0"/>
          <w:sz w:val="24"/>
          <w:szCs w:val="24"/>
        </w:rPr>
        <w:t>全防护措施。</w:t>
      </w:r>
    </w:p>
    <w:p w14:paraId="25323178">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8.2.1</w:t>
      </w:r>
      <w:r>
        <w:rPr>
          <w:rFonts w:hint="eastAsia" w:ascii="仿宋_GB2312" w:hAnsi="宋体" w:eastAsia="仿宋_GB2312" w:cs="宋体"/>
          <w:color w:val="000000"/>
          <w:kern w:val="0"/>
          <w:sz w:val="24"/>
          <w:szCs w:val="24"/>
          <w:lang w:val="en-US" w:eastAsia="zh-CN"/>
        </w:rPr>
        <w:t>4</w:t>
      </w:r>
      <w:r>
        <w:rPr>
          <w:rFonts w:hint="eastAsia" w:ascii="仿宋_GB2312" w:hAnsi="宋体" w:eastAsia="仿宋_GB2312" w:cs="宋体"/>
          <w:color w:val="000000"/>
          <w:kern w:val="0"/>
          <w:sz w:val="24"/>
          <w:szCs w:val="24"/>
        </w:rPr>
        <w:t>制定应急措施和救援预案，每半年至少针对甲方维保的不同类别（类型）电梯进行二次应急演练。</w:t>
      </w:r>
    </w:p>
    <w:p w14:paraId="3DBFCFAD">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8.2.1</w:t>
      </w:r>
      <w:r>
        <w:rPr>
          <w:rFonts w:hint="eastAsia" w:ascii="仿宋_GB2312" w:hAnsi="宋体" w:eastAsia="仿宋_GB2312" w:cs="宋体"/>
          <w:color w:val="000000"/>
          <w:kern w:val="0"/>
          <w:sz w:val="24"/>
          <w:szCs w:val="24"/>
          <w:lang w:val="en-US" w:eastAsia="zh-CN"/>
        </w:rPr>
        <w:t>5</w:t>
      </w:r>
      <w:r>
        <w:rPr>
          <w:rFonts w:hint="eastAsia" w:ascii="仿宋_GB2312" w:hAnsi="宋体" w:eastAsia="仿宋_GB2312" w:cs="宋体"/>
          <w:color w:val="000000"/>
          <w:kern w:val="0"/>
          <w:sz w:val="24"/>
          <w:szCs w:val="24"/>
        </w:rPr>
        <w:t>对电梯发生的故障情况，及时进行详细的记录。</w:t>
      </w:r>
    </w:p>
    <w:p w14:paraId="1665B95C">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8.2.1</w:t>
      </w:r>
      <w:r>
        <w:rPr>
          <w:rFonts w:hint="eastAsia" w:ascii="仿宋_GB2312" w:hAnsi="宋体" w:eastAsia="仿宋_GB2312" w:cs="宋体"/>
          <w:color w:val="000000"/>
          <w:kern w:val="0"/>
          <w:sz w:val="24"/>
          <w:szCs w:val="24"/>
          <w:lang w:val="en-US" w:eastAsia="zh-CN"/>
        </w:rPr>
        <w:t>6</w:t>
      </w:r>
      <w:r>
        <w:rPr>
          <w:rFonts w:hint="eastAsia" w:ascii="仿宋_GB2312" w:hAnsi="宋体" w:eastAsia="仿宋_GB2312" w:cs="宋体"/>
          <w:color w:val="000000"/>
          <w:kern w:val="0"/>
          <w:sz w:val="24"/>
          <w:szCs w:val="24"/>
        </w:rPr>
        <w:t>建立每部电梯的维保记录，并做好半月、月、季、半年、全年维修保养记录。并且归入电梯安全技术档案，档案至少保存4年。</w:t>
      </w:r>
    </w:p>
    <w:p w14:paraId="3522936A">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8.2.1</w:t>
      </w:r>
      <w:r>
        <w:rPr>
          <w:rFonts w:hint="eastAsia" w:ascii="仿宋_GB2312" w:hAnsi="宋体" w:eastAsia="仿宋_GB2312" w:cs="宋体"/>
          <w:color w:val="000000"/>
          <w:kern w:val="0"/>
          <w:sz w:val="24"/>
          <w:szCs w:val="24"/>
          <w:lang w:val="en-US" w:eastAsia="zh-CN"/>
        </w:rPr>
        <w:t>7</w:t>
      </w:r>
      <w:r>
        <w:rPr>
          <w:rFonts w:hint="eastAsia" w:ascii="仿宋_GB2312" w:hAnsi="宋体" w:eastAsia="仿宋_GB2312" w:cs="宋体"/>
          <w:color w:val="000000"/>
          <w:kern w:val="0"/>
          <w:sz w:val="24"/>
          <w:szCs w:val="24"/>
        </w:rPr>
        <w:t>协助甲方制定电梯的安全管理制度和应急救援预案。</w:t>
      </w:r>
    </w:p>
    <w:p w14:paraId="039C27A5">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8.2.1</w:t>
      </w:r>
      <w:r>
        <w:rPr>
          <w:rFonts w:hint="eastAsia" w:ascii="仿宋_GB2312" w:hAnsi="宋体" w:eastAsia="仿宋_GB2312" w:cs="宋体"/>
          <w:color w:val="000000"/>
          <w:kern w:val="0"/>
          <w:sz w:val="24"/>
          <w:szCs w:val="24"/>
          <w:lang w:val="en-US" w:eastAsia="zh-CN"/>
        </w:rPr>
        <w:t>8</w:t>
      </w:r>
      <w:r>
        <w:rPr>
          <w:rFonts w:hint="eastAsia" w:ascii="仿宋_GB2312" w:hAnsi="宋体" w:eastAsia="仿宋_GB2312" w:cs="宋体"/>
          <w:color w:val="000000"/>
          <w:kern w:val="0"/>
          <w:sz w:val="24"/>
          <w:szCs w:val="24"/>
        </w:rPr>
        <w:t>对承担维保的作业人员进行安全教育与培训，按照特种设备作业人员考核要求，组织取得具有电梯维修项目的《特种设备维修操作证》存档备查。</w:t>
      </w:r>
    </w:p>
    <w:p w14:paraId="6FAF1E0E">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w:t>
      </w:r>
      <w:r>
        <w:rPr>
          <w:rFonts w:hint="eastAsia" w:ascii="仿宋_GB2312" w:hAnsi="宋体" w:eastAsia="仿宋_GB2312" w:cs="宋体"/>
          <w:color w:val="000000"/>
          <w:kern w:val="0"/>
          <w:sz w:val="24"/>
          <w:szCs w:val="24"/>
          <w:lang w:val="en-US" w:eastAsia="zh-CN"/>
        </w:rPr>
        <w:t>19</w:t>
      </w:r>
      <w:r>
        <w:rPr>
          <w:rFonts w:hint="eastAsia" w:ascii="仿宋_GB2312" w:hAnsi="宋体" w:eastAsia="仿宋_GB2312" w:cs="宋体"/>
          <w:color w:val="000000"/>
          <w:kern w:val="0"/>
          <w:sz w:val="24"/>
          <w:szCs w:val="24"/>
        </w:rPr>
        <w:t>每年度至少进行2次自行检查，自行检查根据使用情况决定，不少于年度维保和电梯定期检验规定的项目及内容，并向甲方出具具有自行检查和审核人员的签字，加盖乙方公章或专用章的自行检查记录或者报告。</w:t>
      </w:r>
    </w:p>
    <w:p w14:paraId="39873AA3">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8.2.2</w:t>
      </w:r>
      <w:r>
        <w:rPr>
          <w:rFonts w:hint="eastAsia" w:ascii="仿宋_GB2312" w:hAnsi="宋体" w:eastAsia="仿宋_GB2312" w:cs="宋体"/>
          <w:color w:val="000000"/>
          <w:kern w:val="0"/>
          <w:sz w:val="24"/>
          <w:szCs w:val="24"/>
          <w:lang w:val="en-US" w:eastAsia="zh-CN"/>
        </w:rPr>
        <w:t>0</w:t>
      </w:r>
      <w:r>
        <w:rPr>
          <w:rFonts w:hint="eastAsia" w:ascii="仿宋_GB2312" w:hAnsi="宋体" w:eastAsia="仿宋_GB2312" w:cs="宋体"/>
          <w:color w:val="000000"/>
          <w:kern w:val="0"/>
          <w:sz w:val="24"/>
          <w:szCs w:val="24"/>
        </w:rPr>
        <w:t>安排维保人员配合特种设备检验机构进行电梯的定期检验。</w:t>
      </w:r>
    </w:p>
    <w:p w14:paraId="2A590B2E">
      <w:pPr>
        <w:spacing w:line="380" w:lineRule="exact"/>
        <w:ind w:firstLine="480" w:firstLineChars="200"/>
        <w:rPr>
          <w:rFonts w:hint="eastAsia" w:ascii="仿宋_GB2312" w:hAnsi="宋体" w:eastAsia="仿宋_GB2312" w:cs="宋体"/>
          <w:color w:val="000000"/>
          <w:kern w:val="0"/>
          <w:sz w:val="24"/>
          <w:szCs w:val="24"/>
        </w:rPr>
      </w:pPr>
      <w:bookmarkStart w:id="9" w:name="_Hlk17359866"/>
      <w:r>
        <w:rPr>
          <w:rFonts w:ascii="仿宋_GB2312" w:hAnsi="宋体" w:eastAsia="仿宋_GB2312" w:cs="宋体"/>
          <w:color w:val="000000"/>
          <w:kern w:val="0"/>
          <w:sz w:val="24"/>
          <w:szCs w:val="24"/>
        </w:rPr>
        <w:t>8.2.2</w:t>
      </w:r>
      <w:r>
        <w:rPr>
          <w:rFonts w:hint="eastAsia" w:ascii="仿宋_GB2312" w:hAnsi="宋体" w:eastAsia="仿宋_GB2312" w:cs="宋体"/>
          <w:color w:val="000000"/>
          <w:kern w:val="0"/>
          <w:sz w:val="24"/>
          <w:szCs w:val="24"/>
          <w:lang w:val="en-US" w:eastAsia="zh-CN"/>
        </w:rPr>
        <w:t>1</w:t>
      </w:r>
      <w:r>
        <w:rPr>
          <w:rFonts w:hint="eastAsia" w:ascii="仿宋_GB2312" w:hAnsi="宋体" w:eastAsia="仿宋_GB2312" w:cs="宋体"/>
          <w:color w:val="000000"/>
          <w:kern w:val="0"/>
          <w:sz w:val="24"/>
          <w:szCs w:val="24"/>
        </w:rPr>
        <w:t>根据合同要求列出相关包修包换零部件清单</w:t>
      </w:r>
      <w:bookmarkEnd w:id="9"/>
      <w:r>
        <w:rPr>
          <w:rFonts w:hint="eastAsia" w:ascii="仿宋_GB2312" w:hAnsi="宋体" w:eastAsia="仿宋_GB2312" w:cs="宋体"/>
          <w:color w:val="000000"/>
          <w:kern w:val="0"/>
          <w:sz w:val="24"/>
          <w:szCs w:val="24"/>
        </w:rPr>
        <w:t>，配合甲方做好零部件更换记录。</w:t>
      </w:r>
    </w:p>
    <w:p w14:paraId="4B4478A5">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8.2.2</w:t>
      </w:r>
      <w:r>
        <w:rPr>
          <w:rFonts w:hint="eastAsia" w:ascii="仿宋_GB2312" w:hAnsi="宋体" w:eastAsia="仿宋_GB2312" w:cs="宋体"/>
          <w:color w:val="000000"/>
          <w:kern w:val="0"/>
          <w:sz w:val="24"/>
          <w:szCs w:val="24"/>
          <w:lang w:val="en-US" w:eastAsia="zh-CN"/>
        </w:rPr>
        <w:t>2</w:t>
      </w:r>
      <w:r>
        <w:rPr>
          <w:rFonts w:hint="eastAsia" w:ascii="仿宋_GB2312" w:hAnsi="宋体" w:eastAsia="仿宋_GB2312" w:cs="宋体"/>
          <w:color w:val="000000"/>
          <w:kern w:val="0"/>
          <w:sz w:val="24"/>
          <w:szCs w:val="24"/>
        </w:rPr>
        <w:t>如因合同要求内的事项产生罚款，全部由电梯维保单位承担。</w:t>
      </w:r>
    </w:p>
    <w:p w14:paraId="2DD675AE">
      <w:pPr>
        <w:spacing w:line="380" w:lineRule="exact"/>
        <w:ind w:firstLine="480" w:firstLineChars="200"/>
        <w:rPr>
          <w:rFonts w:hint="eastAsia" w:ascii="仿宋_GB2312" w:hAnsi="宋体" w:eastAsia="仿宋_GB2312" w:cs="宋体"/>
          <w:color w:val="000000"/>
          <w:kern w:val="0"/>
          <w:sz w:val="24"/>
          <w:szCs w:val="24"/>
        </w:rPr>
      </w:pPr>
      <w:r>
        <w:rPr>
          <w:rFonts w:ascii="仿宋_GB2312" w:hAnsi="宋体" w:eastAsia="仿宋_GB2312" w:cs="宋体"/>
          <w:color w:val="000000"/>
          <w:kern w:val="0"/>
          <w:sz w:val="24"/>
          <w:szCs w:val="24"/>
        </w:rPr>
        <w:t>8.2.2</w:t>
      </w:r>
      <w:r>
        <w:rPr>
          <w:rFonts w:hint="eastAsia" w:ascii="仿宋_GB2312" w:hAnsi="宋体" w:eastAsia="仿宋_GB2312" w:cs="宋体"/>
          <w:color w:val="000000"/>
          <w:kern w:val="0"/>
          <w:sz w:val="24"/>
          <w:szCs w:val="24"/>
          <w:lang w:val="en-US" w:eastAsia="zh-CN"/>
        </w:rPr>
        <w:t>3</w:t>
      </w:r>
      <w:r>
        <w:rPr>
          <w:rFonts w:hint="eastAsia" w:ascii="仿宋_GB2312" w:hAnsi="宋体" w:eastAsia="仿宋_GB2312" w:cs="宋体"/>
          <w:color w:val="000000"/>
          <w:kern w:val="0"/>
          <w:sz w:val="24"/>
          <w:szCs w:val="24"/>
        </w:rPr>
        <w:t>乙方实施维保后的电梯应符合安全技术规范、强制性标准和电梯制造单位的技术要求。</w:t>
      </w:r>
    </w:p>
    <w:p w14:paraId="21FC82F9">
      <w:pPr>
        <w:spacing w:line="380" w:lineRule="exact"/>
        <w:ind w:firstLine="482" w:firstLineChars="200"/>
        <w:rPr>
          <w:rFonts w:ascii="仿宋_GB2312" w:eastAsia="仿宋_GB2312"/>
          <w:sz w:val="24"/>
          <w:szCs w:val="24"/>
        </w:rPr>
      </w:pPr>
      <w:r>
        <w:rPr>
          <w:rFonts w:hint="eastAsia" w:ascii="仿宋_GB2312" w:eastAsia="仿宋_GB2312"/>
          <w:b/>
          <w:bCs/>
          <w:sz w:val="24"/>
          <w:szCs w:val="24"/>
        </w:rPr>
        <w:t>第九条</w:t>
      </w:r>
      <w:r>
        <w:rPr>
          <w:rFonts w:hint="eastAsia" w:ascii="仿宋_GB2312" w:eastAsia="仿宋_GB2312"/>
          <w:sz w:val="24"/>
          <w:szCs w:val="24"/>
        </w:rPr>
        <w:t xml:space="preserve">  其他约定</w:t>
      </w:r>
    </w:p>
    <w:p w14:paraId="27C7EDF4">
      <w:pPr>
        <w:spacing w:line="380" w:lineRule="exact"/>
        <w:ind w:firstLine="480" w:firstLineChars="200"/>
        <w:rPr>
          <w:rFonts w:hint="eastAsia" w:ascii="仿宋_GB2312" w:eastAsia="仿宋_GB2312"/>
          <w:b/>
          <w:sz w:val="24"/>
          <w:szCs w:val="24"/>
        </w:rPr>
      </w:pPr>
      <w:r>
        <w:rPr>
          <w:rFonts w:ascii="仿宋_GB2312" w:eastAsia="仿宋_GB2312"/>
          <w:sz w:val="24"/>
          <w:szCs w:val="24"/>
        </w:rPr>
        <w:t>9.1</w:t>
      </w:r>
      <w:r>
        <w:rPr>
          <w:rFonts w:hint="eastAsia" w:ascii="仿宋_GB2312" w:eastAsia="仿宋_GB2312"/>
          <w:sz w:val="24"/>
          <w:szCs w:val="24"/>
        </w:rPr>
        <w:t>乙方正式接管后应对本合同约定的电梯进行详细的检查，检查结果需甲方签字确认，并作为电梯现状记录由甲、乙双方保存。</w:t>
      </w:r>
    </w:p>
    <w:p w14:paraId="25F5E312">
      <w:pPr>
        <w:spacing w:line="380" w:lineRule="exact"/>
        <w:ind w:firstLine="480" w:firstLineChars="200"/>
        <w:rPr>
          <w:rFonts w:hint="eastAsia" w:ascii="仿宋_GB2312" w:eastAsia="仿宋_GB2312"/>
          <w:sz w:val="24"/>
          <w:szCs w:val="24"/>
        </w:rPr>
      </w:pPr>
      <w:r>
        <w:rPr>
          <w:rFonts w:ascii="仿宋_GB2312" w:hAnsi="宋体" w:eastAsia="仿宋_GB2312" w:cs="宋体"/>
          <w:kern w:val="0"/>
          <w:sz w:val="24"/>
          <w:szCs w:val="24"/>
        </w:rPr>
        <w:t>9.2</w:t>
      </w:r>
      <w:r>
        <w:rPr>
          <w:rFonts w:hint="eastAsia" w:ascii="仿宋_GB2312" w:eastAsia="仿宋_GB2312"/>
          <w:sz w:val="24"/>
          <w:szCs w:val="24"/>
        </w:rPr>
        <w:t>甲方要求乙方提供本合同约定内容以外服务的，如强化保养、增加保养频次、</w:t>
      </w:r>
      <w:r>
        <w:rPr>
          <w:rFonts w:hint="eastAsia" w:ascii="仿宋_GB2312" w:hAnsi="宋体" w:eastAsia="仿宋_GB2312" w:cs="ËÎÌå"/>
          <w:kern w:val="0"/>
          <w:sz w:val="24"/>
          <w:szCs w:val="24"/>
        </w:rPr>
        <w:t>驻场作业服务、</w:t>
      </w:r>
      <w:r>
        <w:rPr>
          <w:rFonts w:hint="eastAsia" w:ascii="仿宋_GB2312" w:eastAsia="仿宋_GB2312"/>
          <w:sz w:val="24"/>
          <w:szCs w:val="24"/>
        </w:rPr>
        <w:t>增加检测内容和频次</w:t>
      </w:r>
      <w:r>
        <w:rPr>
          <w:rFonts w:hint="eastAsia" w:ascii="仿宋_GB2312" w:hAnsi="宋体" w:eastAsia="仿宋_GB2312" w:cs="ËÎÌå"/>
          <w:kern w:val="0"/>
          <w:sz w:val="24"/>
          <w:szCs w:val="24"/>
        </w:rPr>
        <w:t>等，</w:t>
      </w:r>
      <w:r>
        <w:rPr>
          <w:rFonts w:hint="eastAsia" w:ascii="仿宋_GB2312" w:eastAsia="仿宋_GB2312"/>
          <w:sz w:val="24"/>
          <w:szCs w:val="24"/>
        </w:rPr>
        <w:t>双方均应以书面形式另行约定。</w:t>
      </w:r>
    </w:p>
    <w:p w14:paraId="1BDDAC74">
      <w:pPr>
        <w:spacing w:line="380" w:lineRule="exact"/>
        <w:ind w:firstLine="480" w:firstLineChars="200"/>
        <w:rPr>
          <w:rFonts w:hint="eastAsia" w:ascii="仿宋_GB2312" w:hAnsi="宋体" w:eastAsia="仿宋_GB2312" w:cs="ËÎÌå"/>
          <w:kern w:val="0"/>
          <w:sz w:val="24"/>
          <w:szCs w:val="24"/>
        </w:rPr>
      </w:pPr>
      <w:r>
        <w:rPr>
          <w:rFonts w:ascii="仿宋_GB2312" w:hAnsi="宋体" w:eastAsia="仿宋_GB2312" w:cs="ËÎÌå"/>
          <w:kern w:val="0"/>
          <w:sz w:val="24"/>
          <w:szCs w:val="24"/>
        </w:rPr>
        <w:t>9.3</w:t>
      </w:r>
      <w:r>
        <w:rPr>
          <w:rFonts w:hint="eastAsia" w:ascii="仿宋_GB2312" w:eastAsia="仿宋_GB2312"/>
          <w:sz w:val="24"/>
          <w:szCs w:val="24"/>
        </w:rPr>
        <w:t>维保记录是记载电梯运行、维护、保养的依据。每台电梯均应当建立独立的</w:t>
      </w:r>
      <w:r>
        <w:rPr>
          <w:rFonts w:hint="eastAsia" w:ascii="仿宋_GB2312" w:hAnsi="宋体" w:eastAsia="仿宋_GB2312" w:cs="宋体"/>
          <w:kern w:val="0"/>
          <w:sz w:val="24"/>
          <w:szCs w:val="24"/>
        </w:rPr>
        <w:t>维保记录。维保记录应当一式两份，甲乙双方各保存一份，保存时间为</w:t>
      </w:r>
      <w:r>
        <w:rPr>
          <w:rFonts w:hint="eastAsia" w:ascii="仿宋_GB2312" w:hAnsi="宋体" w:eastAsia="仿宋_GB2312" w:cs="ËÎÌå"/>
          <w:kern w:val="0"/>
          <w:sz w:val="24"/>
          <w:szCs w:val="24"/>
        </w:rPr>
        <w:t xml:space="preserve">4 </w:t>
      </w:r>
      <w:r>
        <w:rPr>
          <w:rFonts w:hint="eastAsia" w:ascii="仿宋_GB2312" w:hAnsi="宋体" w:eastAsia="仿宋_GB2312" w:cs="宋体"/>
          <w:kern w:val="0"/>
          <w:sz w:val="24"/>
          <w:szCs w:val="24"/>
        </w:rPr>
        <w:t>年。</w:t>
      </w:r>
      <w:r>
        <w:rPr>
          <w:rFonts w:hint="eastAsia" w:ascii="仿宋_GB2312" w:hAnsi="宋体" w:eastAsia="仿宋_GB2312" w:cs="ËÎÌå"/>
          <w:kern w:val="0"/>
          <w:sz w:val="24"/>
          <w:szCs w:val="24"/>
        </w:rPr>
        <w:t>维修与抢修记录均应当长期保存。</w:t>
      </w:r>
    </w:p>
    <w:p w14:paraId="557CCDB5">
      <w:pPr>
        <w:snapToGrid w:val="0"/>
        <w:spacing w:line="380" w:lineRule="exact"/>
        <w:ind w:firstLine="470" w:firstLineChars="196"/>
        <w:rPr>
          <w:rFonts w:ascii="仿宋_GB2312" w:hAnsi="宋体" w:eastAsia="仿宋_GB2312" w:cs="ËÎÌå"/>
          <w:kern w:val="0"/>
          <w:sz w:val="24"/>
          <w:szCs w:val="24"/>
        </w:rPr>
      </w:pPr>
      <w:r>
        <w:rPr>
          <w:rFonts w:ascii="仿宋_GB2312" w:hAnsi="宋体" w:eastAsia="仿宋_GB2312" w:cs="ËÎÌå"/>
          <w:kern w:val="0"/>
          <w:sz w:val="24"/>
          <w:szCs w:val="24"/>
        </w:rPr>
        <w:t>9.4</w:t>
      </w:r>
      <w:r>
        <w:rPr>
          <w:rFonts w:hint="eastAsia" w:ascii="仿宋_GB2312" w:hAnsi="宋体" w:eastAsia="仿宋_GB2312" w:cs="ËÎÌå"/>
          <w:kern w:val="0"/>
          <w:sz w:val="24"/>
          <w:szCs w:val="24"/>
        </w:rPr>
        <w:t>根据电梯的现状，甲乙双方约定：正常使用电梯期间发生的电梯困人故障次数每月每台电梯不超过</w:t>
      </w:r>
      <w:r>
        <w:rPr>
          <w:rFonts w:hint="eastAsia" w:ascii="仿宋_GB2312" w:hAnsi="宋体" w:eastAsia="仿宋_GB2312" w:cs="ËÎÌå"/>
          <w:kern w:val="0"/>
          <w:sz w:val="24"/>
          <w:szCs w:val="24"/>
          <w:u w:val="single"/>
        </w:rPr>
        <w:t xml:space="preserve">  2 </w:t>
      </w:r>
      <w:r>
        <w:rPr>
          <w:rFonts w:hint="eastAsia" w:ascii="仿宋_GB2312" w:hAnsi="宋体" w:eastAsia="仿宋_GB2312" w:cs="ËÎÌå"/>
          <w:kern w:val="0"/>
          <w:sz w:val="24"/>
          <w:szCs w:val="24"/>
        </w:rPr>
        <w:t>次，电梯其它故障次数每月每台电梯不得超过</w:t>
      </w:r>
      <w:r>
        <w:rPr>
          <w:rFonts w:hint="eastAsia" w:ascii="仿宋_GB2312" w:hAnsi="宋体" w:eastAsia="仿宋_GB2312" w:cs="ËÎÌå"/>
          <w:kern w:val="0"/>
          <w:sz w:val="24"/>
          <w:szCs w:val="24"/>
          <w:u w:val="single"/>
        </w:rPr>
        <w:t xml:space="preserve">  2  </w:t>
      </w:r>
      <w:r>
        <w:rPr>
          <w:rFonts w:hint="eastAsia" w:ascii="仿宋_GB2312" w:hAnsi="宋体" w:eastAsia="仿宋_GB2312" w:cs="ËÎÌå"/>
          <w:kern w:val="0"/>
          <w:sz w:val="24"/>
          <w:szCs w:val="24"/>
        </w:rPr>
        <w:t>次。</w:t>
      </w:r>
    </w:p>
    <w:p w14:paraId="34948F32">
      <w:pPr>
        <w:snapToGrid w:val="0"/>
        <w:spacing w:line="380" w:lineRule="exact"/>
        <w:ind w:firstLine="470" w:firstLineChars="196"/>
        <w:rPr>
          <w:rFonts w:hint="eastAsia" w:ascii="仿宋_GB2312" w:hAnsi="宋体" w:eastAsia="仿宋_GB2312" w:cs="ËÎÌå"/>
          <w:kern w:val="0"/>
          <w:sz w:val="24"/>
          <w:szCs w:val="24"/>
        </w:rPr>
      </w:pPr>
      <w:r>
        <w:rPr>
          <w:rFonts w:ascii="仿宋_GB2312" w:hAnsi="宋体" w:eastAsia="仿宋_GB2312" w:cs="ËÎÌå"/>
          <w:kern w:val="0"/>
          <w:sz w:val="24"/>
          <w:szCs w:val="24"/>
        </w:rPr>
        <w:t>9.5</w:t>
      </w:r>
      <w:r>
        <w:rPr>
          <w:rFonts w:hint="eastAsia" w:ascii="仿宋_GB2312" w:hAnsi="宋体" w:eastAsia="仿宋_GB2312" w:cs="ËÎÌå"/>
          <w:kern w:val="0"/>
          <w:sz w:val="24"/>
          <w:szCs w:val="24"/>
        </w:rPr>
        <w:t>进行电梯及自动扶梯负荷试验的费用：</w:t>
      </w:r>
      <w:r>
        <w:rPr>
          <w:rFonts w:hint="eastAsia" w:ascii="仿宋_GB2312" w:hAnsi="宋体" w:eastAsia="仿宋_GB2312" w:cs="ËÎÌå"/>
          <w:kern w:val="0"/>
          <w:sz w:val="24"/>
          <w:szCs w:val="24"/>
          <w:u w:val="single"/>
        </w:rPr>
        <w:t>由甲方支付。</w:t>
      </w:r>
    </w:p>
    <w:p w14:paraId="08D3D94A">
      <w:pPr>
        <w:spacing w:line="380" w:lineRule="exact"/>
        <w:ind w:firstLine="482" w:firstLineChars="200"/>
        <w:rPr>
          <w:rFonts w:ascii="仿宋_GB2312" w:eastAsia="仿宋_GB2312"/>
          <w:sz w:val="24"/>
          <w:szCs w:val="24"/>
        </w:rPr>
      </w:pPr>
      <w:r>
        <w:rPr>
          <w:rFonts w:hint="eastAsia" w:ascii="仿宋_GB2312" w:eastAsia="仿宋_GB2312"/>
          <w:b/>
          <w:sz w:val="24"/>
          <w:szCs w:val="24"/>
        </w:rPr>
        <w:t xml:space="preserve">第十条  </w:t>
      </w:r>
      <w:r>
        <w:rPr>
          <w:rFonts w:hint="eastAsia" w:ascii="仿宋_GB2312" w:eastAsia="仿宋_GB2312"/>
          <w:sz w:val="24"/>
          <w:szCs w:val="24"/>
        </w:rPr>
        <w:t>违约责任</w:t>
      </w:r>
    </w:p>
    <w:p w14:paraId="631748E5">
      <w:pPr>
        <w:spacing w:line="380" w:lineRule="exact"/>
        <w:ind w:firstLine="480" w:firstLineChars="200"/>
        <w:rPr>
          <w:rFonts w:hint="eastAsia" w:ascii="仿宋_GB2312" w:eastAsia="仿宋_GB2312"/>
          <w:sz w:val="24"/>
          <w:szCs w:val="24"/>
        </w:rPr>
      </w:pPr>
      <w:r>
        <w:rPr>
          <w:rFonts w:ascii="仿宋_GB2312" w:eastAsia="仿宋_GB2312"/>
          <w:sz w:val="24"/>
          <w:szCs w:val="24"/>
        </w:rPr>
        <w:t>10.1</w:t>
      </w:r>
      <w:r>
        <w:rPr>
          <w:rFonts w:hint="eastAsia" w:ascii="仿宋_GB2312" w:eastAsia="仿宋_GB2312"/>
          <w:sz w:val="24"/>
          <w:szCs w:val="24"/>
        </w:rPr>
        <w:t>一方当事人未按约定履行义务应当承担违约责任，给对方造成直接损失的，应当承担赔偿责任。</w:t>
      </w:r>
    </w:p>
    <w:p w14:paraId="5BCDE4CD">
      <w:pPr>
        <w:spacing w:line="380" w:lineRule="exact"/>
        <w:ind w:firstLine="480" w:firstLineChars="200"/>
        <w:rPr>
          <w:rFonts w:hint="eastAsia" w:ascii="仿宋_GB2312" w:eastAsia="仿宋_GB2312"/>
          <w:sz w:val="24"/>
          <w:szCs w:val="24"/>
        </w:rPr>
      </w:pPr>
      <w:r>
        <w:rPr>
          <w:rFonts w:ascii="仿宋_GB2312" w:eastAsia="仿宋_GB2312"/>
          <w:sz w:val="24"/>
          <w:szCs w:val="24"/>
        </w:rPr>
        <w:t>10.2</w:t>
      </w:r>
      <w:r>
        <w:rPr>
          <w:rFonts w:hint="eastAsia" w:ascii="仿宋_GB2312" w:eastAsia="仿宋_GB2312"/>
          <w:sz w:val="24"/>
          <w:szCs w:val="24"/>
        </w:rPr>
        <w:t>一方当事人无法继续履行合同的，应当及时通知另一方，并由责任方承担违约责任及因无法履行合同而造成的经济损失。</w:t>
      </w:r>
    </w:p>
    <w:p w14:paraId="7557FA0C">
      <w:pPr>
        <w:spacing w:line="380" w:lineRule="exact"/>
        <w:ind w:firstLine="480" w:firstLineChars="200"/>
        <w:rPr>
          <w:rFonts w:hint="eastAsia" w:ascii="仿宋_GB2312" w:eastAsia="仿宋_GB2312"/>
          <w:sz w:val="24"/>
          <w:szCs w:val="24"/>
        </w:rPr>
      </w:pPr>
      <w:r>
        <w:rPr>
          <w:rFonts w:ascii="仿宋_GB2312" w:eastAsia="仿宋_GB2312"/>
          <w:sz w:val="24"/>
          <w:szCs w:val="24"/>
        </w:rPr>
        <w:t>10.3</w:t>
      </w:r>
      <w:r>
        <w:rPr>
          <w:rFonts w:hint="eastAsia" w:ascii="仿宋_GB2312" w:eastAsia="仿宋_GB2312"/>
          <w:sz w:val="24"/>
          <w:szCs w:val="24"/>
        </w:rPr>
        <w:t>甲方无正当理由未按照约定期限支付费用的，每延误一日应当向乙方支付延误部分费用</w:t>
      </w:r>
      <w:r>
        <w:rPr>
          <w:rFonts w:hint="eastAsia" w:ascii="仿宋_GB2312" w:eastAsia="仿宋_GB2312"/>
          <w:sz w:val="24"/>
          <w:szCs w:val="24"/>
          <w:u w:val="single"/>
        </w:rPr>
        <w:t>万分之五</w:t>
      </w:r>
      <w:r>
        <w:rPr>
          <w:rFonts w:hint="eastAsia" w:ascii="仿宋_GB2312" w:eastAsia="仿宋_GB2312"/>
          <w:sz w:val="24"/>
          <w:szCs w:val="24"/>
        </w:rPr>
        <w:t>的违约金。延误超过双方约定的</w:t>
      </w:r>
      <w:r>
        <w:rPr>
          <w:rFonts w:hint="eastAsia" w:ascii="仿宋_GB2312" w:eastAsia="仿宋_GB2312"/>
          <w:sz w:val="24"/>
          <w:szCs w:val="24"/>
          <w:u w:val="single"/>
        </w:rPr>
        <w:t>　30　</w:t>
      </w:r>
      <w:r>
        <w:rPr>
          <w:rFonts w:hint="eastAsia" w:ascii="仿宋_GB2312" w:eastAsia="仿宋_GB2312"/>
          <w:sz w:val="24"/>
          <w:szCs w:val="24"/>
        </w:rPr>
        <w:t>日时，乙方有权解除合同。</w:t>
      </w:r>
    </w:p>
    <w:p w14:paraId="166C66B9">
      <w:pPr>
        <w:spacing w:line="380" w:lineRule="exact"/>
        <w:ind w:firstLine="480" w:firstLineChars="200"/>
        <w:rPr>
          <w:rFonts w:hint="eastAsia" w:ascii="仿宋_GB2312" w:eastAsia="仿宋_GB2312"/>
          <w:sz w:val="24"/>
          <w:szCs w:val="24"/>
        </w:rPr>
      </w:pPr>
      <w:r>
        <w:rPr>
          <w:rFonts w:ascii="仿宋_GB2312" w:eastAsia="仿宋_GB2312"/>
          <w:sz w:val="24"/>
          <w:szCs w:val="24"/>
        </w:rPr>
        <w:t>10.4</w:t>
      </w:r>
      <w:r>
        <w:rPr>
          <w:rFonts w:hint="eastAsia" w:ascii="仿宋_GB2312" w:eastAsia="仿宋_GB2312"/>
          <w:sz w:val="24"/>
          <w:szCs w:val="24"/>
        </w:rPr>
        <w:t>因乙方维保工作不到位原因所导致的人身伤亡或设备损坏责任，由乙方承担全部责任；除维保工作不到位外，因电梯使用管理原因导致人身伤亡或设备损坏、零部件丢失的，由甲方自行承担全部责任。</w:t>
      </w:r>
    </w:p>
    <w:p w14:paraId="4B8BA862">
      <w:pPr>
        <w:spacing w:line="380" w:lineRule="exact"/>
        <w:ind w:firstLine="480" w:firstLineChars="200"/>
        <w:rPr>
          <w:rFonts w:hint="eastAsia" w:ascii="仿宋_GB2312" w:hAnsi="宋体" w:eastAsia="仿宋_GB2312" w:cs="宋体"/>
          <w:kern w:val="0"/>
          <w:sz w:val="24"/>
          <w:szCs w:val="24"/>
        </w:rPr>
      </w:pPr>
      <w:r>
        <w:rPr>
          <w:rFonts w:ascii="仿宋_GB2312" w:eastAsia="仿宋_GB2312"/>
          <w:sz w:val="24"/>
          <w:szCs w:val="24"/>
        </w:rPr>
        <w:t>10.5</w:t>
      </w:r>
      <w:r>
        <w:rPr>
          <w:rFonts w:hint="eastAsia" w:ascii="仿宋_GB2312" w:hAnsi="宋体" w:eastAsia="仿宋_GB2312" w:cs="宋体"/>
          <w:kern w:val="0"/>
          <w:sz w:val="24"/>
          <w:szCs w:val="24"/>
        </w:rPr>
        <w:t>若甲方未按乙方的书面要求期限同意更换应该更换的电梯零部件而导致电梯故障或存在安全隐患的，</w:t>
      </w:r>
      <w:r>
        <w:rPr>
          <w:rFonts w:hint="eastAsia" w:ascii="仿宋_GB2312" w:eastAsia="仿宋_GB2312"/>
          <w:sz w:val="24"/>
          <w:szCs w:val="24"/>
        </w:rPr>
        <w:t>由甲方</w:t>
      </w:r>
      <w:r>
        <w:rPr>
          <w:rFonts w:hint="eastAsia" w:ascii="仿宋_GB2312" w:hAnsi="宋体" w:eastAsia="仿宋_GB2312" w:cs="宋体"/>
          <w:kern w:val="0"/>
          <w:sz w:val="24"/>
          <w:szCs w:val="24"/>
        </w:rPr>
        <w:t>自行承担责任。</w:t>
      </w:r>
    </w:p>
    <w:p w14:paraId="1BE33498">
      <w:pPr>
        <w:spacing w:line="380" w:lineRule="exact"/>
        <w:ind w:firstLine="480" w:firstLineChars="200"/>
        <w:rPr>
          <w:rFonts w:ascii="仿宋_GB2312" w:eastAsia="仿宋_GB2312"/>
          <w:sz w:val="24"/>
          <w:szCs w:val="24"/>
        </w:rPr>
      </w:pPr>
      <w:r>
        <w:rPr>
          <w:rFonts w:ascii="仿宋_GB2312" w:eastAsia="仿宋_GB2312"/>
          <w:sz w:val="24"/>
          <w:szCs w:val="24"/>
        </w:rPr>
        <w:t>10.6</w:t>
      </w:r>
      <w:r>
        <w:rPr>
          <w:rFonts w:hint="eastAsia" w:ascii="仿宋_GB2312" w:eastAsia="仿宋_GB2312"/>
          <w:sz w:val="24"/>
          <w:szCs w:val="24"/>
        </w:rPr>
        <w:t>乙方违反本合同约定，如</w:t>
      </w:r>
      <w:r>
        <w:rPr>
          <w:rFonts w:hint="eastAsia" w:ascii="仿宋_GB2312" w:hAnsi="宋体" w:eastAsia="仿宋_GB2312" w:cs="宋体"/>
          <w:kern w:val="0"/>
          <w:sz w:val="24"/>
          <w:szCs w:val="24"/>
        </w:rPr>
        <w:t>作业过程中未服从甲方现场安全管理落实现场安全防护措施，或</w:t>
      </w:r>
      <w:r>
        <w:rPr>
          <w:rFonts w:hint="eastAsia" w:ascii="仿宋_GB2312" w:hAnsi="_x000B_" w:eastAsia="仿宋_GB2312" w:cs="宋体"/>
          <w:kern w:val="0"/>
          <w:sz w:val="24"/>
          <w:szCs w:val="24"/>
        </w:rPr>
        <w:t>需要安全监护的作业时作业人员只有一人，或保养时间不足等，甲方可拒付当次作业或保养的当台当月保养费，若因此导致甲方未按时支付当季维保费等费用的，不视为甲方违约。如因此导致甲方或第三方人身或财产损失的，由乙方负责赔偿。</w:t>
      </w:r>
    </w:p>
    <w:p w14:paraId="3E8B4F30">
      <w:pPr>
        <w:spacing w:line="380" w:lineRule="exact"/>
        <w:ind w:firstLine="480" w:firstLineChars="200"/>
        <w:rPr>
          <w:rFonts w:hint="eastAsia" w:ascii="仿宋_GB2312" w:eastAsia="仿宋_GB2312"/>
          <w:sz w:val="24"/>
          <w:szCs w:val="24"/>
        </w:rPr>
      </w:pPr>
      <w:r>
        <w:rPr>
          <w:rFonts w:ascii="仿宋_GB2312" w:eastAsia="仿宋_GB2312"/>
          <w:sz w:val="24"/>
          <w:szCs w:val="24"/>
        </w:rPr>
        <w:t>10.7</w:t>
      </w:r>
      <w:r>
        <w:rPr>
          <w:rFonts w:hint="eastAsia" w:ascii="仿宋_GB2312" w:eastAsia="仿宋_GB2312"/>
          <w:sz w:val="24"/>
          <w:szCs w:val="24"/>
        </w:rPr>
        <w:t>乙方维保工作不符合合同约定的维保标准或要求的，乙方应当返工，并按照</w:t>
      </w:r>
      <w:r>
        <w:rPr>
          <w:rFonts w:hint="eastAsia" w:ascii="仿宋_GB2312" w:eastAsia="仿宋_GB2312"/>
          <w:sz w:val="24"/>
          <w:szCs w:val="24"/>
          <w:u w:val="single"/>
        </w:rPr>
        <w:t xml:space="preserve"> 合同总价的5%  </w:t>
      </w:r>
      <w:r>
        <w:rPr>
          <w:rFonts w:hint="eastAsia" w:ascii="仿宋_GB2312" w:eastAsia="仿宋_GB2312"/>
          <w:sz w:val="24"/>
          <w:szCs w:val="24"/>
        </w:rPr>
        <w:t>标准按次支付违约金。</w:t>
      </w:r>
    </w:p>
    <w:p w14:paraId="73B25E1D">
      <w:pPr>
        <w:spacing w:line="380" w:lineRule="exact"/>
        <w:ind w:firstLine="480" w:firstLineChars="200"/>
        <w:rPr>
          <w:rFonts w:hint="eastAsia" w:ascii="仿宋_GB2312" w:eastAsia="仿宋_GB2312"/>
          <w:sz w:val="24"/>
          <w:szCs w:val="24"/>
        </w:rPr>
      </w:pPr>
      <w:r>
        <w:rPr>
          <w:rFonts w:ascii="仿宋_GB2312" w:eastAsia="仿宋_GB2312"/>
          <w:sz w:val="24"/>
          <w:szCs w:val="24"/>
        </w:rPr>
        <w:t>10.8</w:t>
      </w:r>
      <w:r>
        <w:rPr>
          <w:rFonts w:hint="eastAsia" w:ascii="仿宋_GB2312" w:eastAsia="仿宋_GB2312"/>
          <w:sz w:val="24"/>
          <w:szCs w:val="24"/>
        </w:rPr>
        <w:t>因维保原因导致电梯检验不合格的，由乙方承担电梯复检费用，直到检验合格为止。因乙方保养不善，导致同样故障一个月内重复出现两次或以上，甲方有权扣除当月电梯维保费。</w:t>
      </w:r>
    </w:p>
    <w:p w14:paraId="78C39D2C">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10.9</w:t>
      </w:r>
      <w:r>
        <w:rPr>
          <w:rFonts w:hint="eastAsia" w:ascii="仿宋_GB2312" w:hAnsi="宋体" w:eastAsia="仿宋_GB2312"/>
          <w:color w:val="000000"/>
          <w:sz w:val="24"/>
          <w:szCs w:val="24"/>
        </w:rPr>
        <w:t>因乙方原因，如保养资料缺失、保养时间不及时、保养期间未按规定做好防护措施或少于二人共同工作等违规或未按合同执行的情况，甲方有权按实际情况要求乙方支付100～2000元的违约金（具体金额由甲方确定），违约行为，列表登记，作为次年的保养合同的签订参考。</w:t>
      </w:r>
    </w:p>
    <w:p w14:paraId="473E2330">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10.10</w:t>
      </w:r>
      <w:r>
        <w:rPr>
          <w:rFonts w:hint="eastAsia" w:ascii="仿宋_GB2312" w:hAnsi="宋体" w:eastAsia="仿宋_GB2312"/>
          <w:color w:val="000000"/>
          <w:sz w:val="24"/>
          <w:szCs w:val="24"/>
        </w:rPr>
        <w:t>在维修保养期限内，乙方不得委托其它单位或个人对电梯进行维护保养。一经发现，视为违约，甲方有权解除合同，并要求乙方按照合同总价的5% 标准支付违约金。同时乙方应该为第三方的行为承担连带责任。</w:t>
      </w:r>
    </w:p>
    <w:p w14:paraId="58A2604F">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10.11</w:t>
      </w:r>
      <w:r>
        <w:rPr>
          <w:rFonts w:hint="eastAsia" w:ascii="仿宋_GB2312" w:hAnsi="宋体" w:eastAsia="仿宋_GB2312"/>
          <w:color w:val="000000"/>
          <w:sz w:val="24"/>
          <w:szCs w:val="24"/>
        </w:rPr>
        <w:t>若乙方在接到甲方整改通知后，</w:t>
      </w:r>
      <w:r>
        <w:rPr>
          <w:rFonts w:hint="eastAsia" w:ascii="仿宋_GB2312" w:eastAsia="仿宋_GB2312"/>
          <w:sz w:val="24"/>
          <w:szCs w:val="24"/>
        </w:rPr>
        <w:t>未在甲方要求的期限内完成整改的；或</w:t>
      </w:r>
      <w:r>
        <w:rPr>
          <w:rFonts w:hint="eastAsia" w:ascii="仿宋_GB2312" w:hAnsi="宋体" w:eastAsia="仿宋_GB2312"/>
          <w:color w:val="000000"/>
          <w:sz w:val="24"/>
          <w:szCs w:val="24"/>
        </w:rPr>
        <w:t>超过三次未按约定时间到达现场检查或维修；或者乙方延期保养超过三次，甲方有权解除合同并要求乙方支付合同总价的10%的违约金。</w:t>
      </w:r>
    </w:p>
    <w:p w14:paraId="3598DBA0">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10.1</w:t>
      </w:r>
      <w:r>
        <w:rPr>
          <w:rFonts w:hint="eastAsia" w:ascii="仿宋_GB2312" w:hAnsi="宋体" w:eastAsia="仿宋_GB2312"/>
          <w:color w:val="000000"/>
          <w:sz w:val="24"/>
          <w:szCs w:val="24"/>
        </w:rPr>
        <w:t>2除非合同另有约定或有法律规定，如乙方单方面终止合同的，须支付合同总价的10%的违约金。如甲方单方面终止合同的，除了无权向乙方要求返还已支付的保养费以外，另须各支付乙方合同总价的10%的违约金。</w:t>
      </w:r>
    </w:p>
    <w:p w14:paraId="00C9A69E">
      <w:pPr>
        <w:spacing w:line="38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0.1</w:t>
      </w:r>
      <w:r>
        <w:rPr>
          <w:rFonts w:hint="eastAsia" w:ascii="仿宋_GB2312" w:hAnsi="宋体" w:eastAsia="仿宋_GB2312"/>
          <w:color w:val="000000"/>
          <w:sz w:val="24"/>
          <w:szCs w:val="24"/>
        </w:rPr>
        <w:t>3乙方自行配备工作所需的工具及设备，维修保养时必须按要求在电梯口张贴“停梯检修”警示标识以及设置安全防护措施。</w:t>
      </w:r>
    </w:p>
    <w:p w14:paraId="1F9B357F">
      <w:pPr>
        <w:spacing w:line="38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1</w:t>
      </w:r>
      <w:r>
        <w:rPr>
          <w:rFonts w:ascii="仿宋_GB2312" w:hAnsi="宋体" w:eastAsia="仿宋_GB2312"/>
          <w:color w:val="000000"/>
          <w:sz w:val="24"/>
          <w:szCs w:val="24"/>
        </w:rPr>
        <w:t>0.</w:t>
      </w:r>
      <w:r>
        <w:rPr>
          <w:rFonts w:hint="eastAsia" w:ascii="仿宋_GB2312" w:hAnsi="宋体" w:eastAsia="仿宋_GB2312"/>
          <w:color w:val="000000"/>
          <w:sz w:val="24"/>
          <w:szCs w:val="24"/>
        </w:rPr>
        <w:t>14乙方维修人员须持证上岗，其培训、安全、工具、保险均应由乙方负责。乙方必须严格执行国家特种设备有关安全作业标准，确保人身及电梯设备安全前提下方可作业，由于乙方违规操作造成事故或损失，责任由乙方承担。</w:t>
      </w:r>
    </w:p>
    <w:p w14:paraId="786C3FC7">
      <w:pPr>
        <w:spacing w:line="380" w:lineRule="exact"/>
        <w:ind w:firstLine="482" w:firstLineChars="200"/>
        <w:rPr>
          <w:rFonts w:hint="eastAsia" w:ascii="仿宋_GB2312" w:hAnsi="宋体" w:eastAsia="仿宋_GB2312"/>
          <w:color w:val="000000"/>
          <w:sz w:val="24"/>
          <w:szCs w:val="24"/>
        </w:rPr>
      </w:pPr>
      <w:r>
        <w:rPr>
          <w:rFonts w:hint="eastAsia" w:ascii="仿宋_GB2312" w:hAnsi="宋体" w:eastAsia="仿宋_GB2312"/>
          <w:b/>
          <w:bCs/>
          <w:color w:val="000000"/>
          <w:sz w:val="24"/>
          <w:szCs w:val="24"/>
        </w:rPr>
        <w:t>第十一条</w:t>
      </w:r>
      <w:r>
        <w:rPr>
          <w:rFonts w:hint="eastAsia" w:ascii="仿宋_GB2312" w:hAnsi="宋体" w:eastAsia="仿宋_GB2312"/>
          <w:color w:val="000000"/>
          <w:sz w:val="24"/>
          <w:szCs w:val="24"/>
        </w:rPr>
        <w:t xml:space="preserve">  合同的解除</w:t>
      </w:r>
    </w:p>
    <w:p w14:paraId="75C6AC59">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11.1</w:t>
      </w:r>
      <w:r>
        <w:rPr>
          <w:rFonts w:hint="eastAsia" w:ascii="仿宋_GB2312" w:hAnsi="宋体" w:eastAsia="仿宋_GB2312"/>
          <w:color w:val="000000"/>
          <w:sz w:val="24"/>
          <w:szCs w:val="24"/>
        </w:rPr>
        <w:t>甲方在本合同期内丧失项目物业管理权的，双方有权提前解除本合同，甲方不承担任何违约责任。</w:t>
      </w:r>
    </w:p>
    <w:p w14:paraId="7DC3067B">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11.2</w:t>
      </w:r>
      <w:r>
        <w:rPr>
          <w:rFonts w:hint="eastAsia" w:ascii="仿宋_GB2312" w:hAnsi="宋体" w:eastAsia="仿宋_GB2312"/>
          <w:color w:val="000000"/>
          <w:sz w:val="24"/>
          <w:szCs w:val="24"/>
        </w:rPr>
        <w:t>甲乙双方协商一致，可以解除合同。</w:t>
      </w:r>
    </w:p>
    <w:p w14:paraId="04A6B6A4">
      <w:pPr>
        <w:spacing w:line="380" w:lineRule="exact"/>
        <w:ind w:firstLine="480" w:firstLineChars="200"/>
        <w:rPr>
          <w:rFonts w:hint="eastAsia" w:ascii="仿宋_GB2312" w:hAnsi="宋体" w:eastAsia="仿宋_GB2312"/>
          <w:color w:val="000000"/>
          <w:sz w:val="24"/>
          <w:szCs w:val="24"/>
        </w:rPr>
      </w:pPr>
      <w:r>
        <w:rPr>
          <w:rFonts w:ascii="仿宋_GB2312" w:hAnsi="宋体" w:eastAsia="仿宋_GB2312"/>
          <w:color w:val="000000"/>
          <w:sz w:val="24"/>
          <w:szCs w:val="24"/>
        </w:rPr>
        <w:t>11.3</w:t>
      </w:r>
      <w:r>
        <w:rPr>
          <w:rFonts w:hint="eastAsia" w:ascii="仿宋_GB2312" w:hAnsi="宋体" w:eastAsia="仿宋_GB2312"/>
          <w:color w:val="000000"/>
          <w:sz w:val="24"/>
          <w:szCs w:val="24"/>
        </w:rPr>
        <w:t>甲乙双方有权按照本合同其他约定解除合同。</w:t>
      </w:r>
    </w:p>
    <w:p w14:paraId="7412CAAC">
      <w:pPr>
        <w:spacing w:line="380" w:lineRule="exact"/>
        <w:ind w:firstLine="482" w:firstLineChars="200"/>
        <w:rPr>
          <w:rFonts w:hint="eastAsia" w:ascii="仿宋_GB2312" w:hAnsi="宋体" w:eastAsia="仿宋_GB2312"/>
          <w:color w:val="000000"/>
          <w:sz w:val="24"/>
          <w:szCs w:val="24"/>
        </w:rPr>
      </w:pPr>
      <w:r>
        <w:rPr>
          <w:rFonts w:hint="eastAsia" w:ascii="仿宋_GB2312" w:hAnsi="宋体" w:eastAsia="仿宋_GB2312"/>
          <w:b/>
          <w:bCs/>
          <w:color w:val="000000"/>
          <w:sz w:val="24"/>
          <w:szCs w:val="24"/>
        </w:rPr>
        <w:t>第十二条</w:t>
      </w:r>
      <w:r>
        <w:rPr>
          <w:rFonts w:hint="eastAsia" w:ascii="仿宋_GB2312" w:hAnsi="宋体" w:eastAsia="仿宋_GB2312"/>
          <w:color w:val="000000"/>
          <w:sz w:val="24"/>
          <w:szCs w:val="24"/>
        </w:rPr>
        <w:t xml:space="preserve">  争议解决方式</w:t>
      </w:r>
    </w:p>
    <w:p w14:paraId="712F7A20">
      <w:pPr>
        <w:spacing w:line="38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合同履行过程中发生争议的，双方可通过协商解决或向物业所在地的人民调解委员会申请调解的方式解决；不愿协商、调解或协商、调解不成的，双方任意一方可向甲方所在地人民法院提起诉讼解决。</w:t>
      </w:r>
    </w:p>
    <w:p w14:paraId="1A3CF615">
      <w:pPr>
        <w:spacing w:line="380" w:lineRule="exact"/>
        <w:ind w:firstLine="482" w:firstLineChars="200"/>
        <w:rPr>
          <w:rFonts w:hint="eastAsia" w:ascii="仿宋_GB2312" w:hAnsi="宋体" w:eastAsia="仿宋_GB2312"/>
          <w:color w:val="000000"/>
          <w:sz w:val="24"/>
          <w:szCs w:val="24"/>
        </w:rPr>
      </w:pPr>
      <w:r>
        <w:rPr>
          <w:rFonts w:hint="eastAsia" w:ascii="仿宋_GB2312" w:hAnsi="宋体" w:eastAsia="仿宋_GB2312"/>
          <w:b/>
          <w:bCs/>
          <w:color w:val="000000"/>
          <w:sz w:val="24"/>
          <w:szCs w:val="24"/>
        </w:rPr>
        <w:t>第十三条</w:t>
      </w:r>
      <w:r>
        <w:rPr>
          <w:rFonts w:hint="eastAsia" w:ascii="仿宋_GB2312" w:hAnsi="宋体" w:eastAsia="仿宋_GB2312"/>
          <w:color w:val="000000"/>
          <w:sz w:val="24"/>
          <w:szCs w:val="24"/>
        </w:rPr>
        <w:t xml:space="preserve">  附则</w:t>
      </w:r>
    </w:p>
    <w:p w14:paraId="170080DE">
      <w:pPr>
        <w:spacing w:line="380" w:lineRule="exact"/>
        <w:ind w:left="1" w:firstLine="477" w:firstLineChars="199"/>
        <w:rPr>
          <w:rFonts w:hint="eastAsia" w:ascii="仿宋_GB2312" w:hAnsi="宋体" w:eastAsia="仿宋_GB2312"/>
          <w:color w:val="000000"/>
          <w:sz w:val="24"/>
          <w:szCs w:val="24"/>
        </w:rPr>
      </w:pPr>
      <w:r>
        <w:rPr>
          <w:rFonts w:ascii="仿宋_GB2312" w:hAnsi="宋体" w:eastAsia="仿宋_GB2312"/>
          <w:color w:val="000000"/>
          <w:sz w:val="24"/>
          <w:szCs w:val="24"/>
        </w:rPr>
        <w:t>13.1</w:t>
      </w:r>
      <w:r>
        <w:rPr>
          <w:rFonts w:hint="eastAsia" w:ascii="仿宋_GB2312" w:hAnsi="宋体" w:eastAsia="仿宋_GB2312"/>
          <w:color w:val="000000"/>
          <w:sz w:val="24"/>
          <w:szCs w:val="24"/>
        </w:rPr>
        <w:t>本合同生效后，双方对合同内容的变更或补充应采取书面形式，并经双方签字确认，作为本合同的附件。附件与本合同具有同等的法律效力。</w:t>
      </w:r>
    </w:p>
    <w:p w14:paraId="3E37B1C0">
      <w:pPr>
        <w:spacing w:line="380" w:lineRule="exact"/>
        <w:ind w:left="1" w:firstLine="477" w:firstLineChars="199"/>
        <w:rPr>
          <w:rFonts w:hint="eastAsia" w:ascii="仿宋_GB2312" w:hAnsi="宋体" w:eastAsia="仿宋_GB2312"/>
          <w:color w:val="000000"/>
          <w:sz w:val="24"/>
          <w:szCs w:val="24"/>
        </w:rPr>
      </w:pPr>
      <w:r>
        <w:rPr>
          <w:rFonts w:ascii="仿宋_GB2312" w:hAnsi="宋体" w:eastAsia="仿宋_GB2312"/>
          <w:color w:val="000000"/>
          <w:sz w:val="24"/>
          <w:szCs w:val="24"/>
        </w:rPr>
        <w:t>13.</w:t>
      </w: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本合同一式肆份，甲方执叁份，乙方执壹份。</w:t>
      </w:r>
    </w:p>
    <w:p w14:paraId="357E9C7E">
      <w:pPr>
        <w:spacing w:line="360" w:lineRule="auto"/>
        <w:ind w:firstLine="960" w:firstLineChars="400"/>
        <w:rPr>
          <w:rFonts w:ascii="宋体" w:hAnsi="宋体" w:cs="宋体"/>
          <w:szCs w:val="24"/>
        </w:rPr>
      </w:pPr>
    </w:p>
    <w:p w14:paraId="09C88C9C">
      <w:pPr>
        <w:spacing w:line="360" w:lineRule="auto"/>
        <w:ind w:firstLine="960" w:firstLineChars="400"/>
        <w:rPr>
          <w:rFonts w:ascii="宋体" w:hAnsi="宋体" w:cs="宋体"/>
          <w:szCs w:val="24"/>
        </w:rPr>
      </w:pPr>
    </w:p>
    <w:p w14:paraId="0B617F1A">
      <w:pPr>
        <w:spacing w:line="360" w:lineRule="auto"/>
        <w:ind w:firstLine="960" w:firstLineChars="400"/>
        <w:rPr>
          <w:rFonts w:ascii="宋体" w:hAnsi="宋体" w:cs="宋体"/>
          <w:szCs w:val="24"/>
        </w:rPr>
      </w:pPr>
      <w:r>
        <w:rPr>
          <w:rFonts w:ascii="Times New Roman" w:hAnsi="Times New Roman" w:cs="Times New Roman"/>
          <w:szCs w:val="24"/>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290830</wp:posOffset>
                </wp:positionV>
                <wp:extent cx="3048000" cy="13925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048000" cy="1392555"/>
                        </a:xfrm>
                        <a:prstGeom prst="rect">
                          <a:avLst/>
                        </a:prstGeom>
                        <a:gradFill rotWithShape="0">
                          <a:gsLst>
                            <a:gs pos="0">
                              <a:srgbClr val="FFFFFF"/>
                            </a:gs>
                            <a:gs pos="100000">
                              <a:srgbClr val="FFFFFF"/>
                            </a:gs>
                          </a:gsLst>
                          <a:lin ang="0"/>
                        </a:gradFill>
                        <a:ln>
                          <a:noFill/>
                        </a:ln>
                      </wps:spPr>
                      <wps:txbx>
                        <w:txbxContent>
                          <w:p w14:paraId="04ECE44C">
                            <w:pPr>
                              <w:spacing w:line="360" w:lineRule="auto"/>
                              <w:ind w:firstLine="480"/>
                              <w:rPr>
                                <w:rFonts w:ascii="仿宋_GB2312" w:hAnsi="宋体" w:eastAsia="仿宋_GB2312" w:cs="宋体"/>
                                <w:szCs w:val="24"/>
                              </w:rPr>
                            </w:pPr>
                            <w:r>
                              <w:rPr>
                                <w:rFonts w:hint="eastAsia" w:ascii="仿宋_GB2312" w:hAnsi="宋体" w:eastAsia="仿宋_GB2312" w:cs="宋体"/>
                                <w:szCs w:val="24"/>
                              </w:rPr>
                              <w:t>甲方：深圳书城龙华城实业有限公司</w:t>
                            </w:r>
                          </w:p>
                          <w:p w14:paraId="28D4C838">
                            <w:pPr>
                              <w:spacing w:line="360" w:lineRule="auto"/>
                              <w:ind w:firstLine="480"/>
                              <w:rPr>
                                <w:rFonts w:ascii="仿宋_GB2312" w:hAnsi="宋体" w:eastAsia="仿宋_GB2312" w:cs="宋体"/>
                                <w:szCs w:val="24"/>
                              </w:rPr>
                            </w:pPr>
                            <w:r>
                              <w:rPr>
                                <w:rFonts w:hint="eastAsia" w:ascii="仿宋_GB2312" w:hAnsi="宋体" w:eastAsia="仿宋_GB2312" w:cs="宋体"/>
                                <w:szCs w:val="24"/>
                              </w:rPr>
                              <w:t xml:space="preserve">法人或授权代表：        </w:t>
                            </w:r>
                          </w:p>
                          <w:p w14:paraId="37089FB3">
                            <w:pPr>
                              <w:spacing w:line="360" w:lineRule="auto"/>
                              <w:ind w:firstLine="720" w:firstLineChars="300"/>
                              <w:rPr>
                                <w:rFonts w:ascii="仿宋_GB2312" w:eastAsia="仿宋_GB2312"/>
                                <w:szCs w:val="24"/>
                              </w:rPr>
                            </w:pPr>
                            <w:r>
                              <w:rPr>
                                <w:rFonts w:hint="eastAsia" w:ascii="仿宋_GB2312" w:hAnsi="宋体" w:eastAsia="仿宋_GB2312" w:cs="宋体"/>
                                <w:szCs w:val="24"/>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5pt;margin-top:22.9pt;height:109.65pt;width:240pt;z-index:251660288;mso-width-relative:page;mso-height-relative:page;" fillcolor="#FFFFFF" filled="t" stroked="f" coordsize="21600,21600" o:gfxdata="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Z&#10;Y71V2QAAAAoBAAAPAAAAAAAAAAEAIAAAACIAAABkcnMvZG93bnJldi54bWxQSwECFAAUAAAACACH&#10;TuJAgnIMtVwCAAC5BAAADgAAAAAAAAABACAAAAAoAQAAZHJzL2Uyb0RvYy54bWxQSwUGAAAAAAYA&#10;BgBZAQAA9gUAAAAA&#10;">
                <v:fill type="gradient" on="t" color2="#FFFFFF" angle="90" focus="100%" focussize="0,0">
                  <o:fill type="gradientUnscaled" v:ext="backwardCompatible"/>
                </v:fill>
                <v:stroke on="f"/>
                <v:imagedata o:title=""/>
                <o:lock v:ext="edit" aspectratio="f"/>
                <v:textbox>
                  <w:txbxContent>
                    <w:p w14:paraId="04ECE44C">
                      <w:pPr>
                        <w:spacing w:line="360" w:lineRule="auto"/>
                        <w:ind w:firstLine="480"/>
                        <w:rPr>
                          <w:rFonts w:ascii="仿宋_GB2312" w:hAnsi="宋体" w:eastAsia="仿宋_GB2312" w:cs="宋体"/>
                          <w:szCs w:val="24"/>
                        </w:rPr>
                      </w:pPr>
                      <w:r>
                        <w:rPr>
                          <w:rFonts w:hint="eastAsia" w:ascii="仿宋_GB2312" w:hAnsi="宋体" w:eastAsia="仿宋_GB2312" w:cs="宋体"/>
                          <w:szCs w:val="24"/>
                        </w:rPr>
                        <w:t>甲方：深圳书城龙华城实业有限公司</w:t>
                      </w:r>
                    </w:p>
                    <w:p w14:paraId="28D4C838">
                      <w:pPr>
                        <w:spacing w:line="360" w:lineRule="auto"/>
                        <w:ind w:firstLine="480"/>
                        <w:rPr>
                          <w:rFonts w:ascii="仿宋_GB2312" w:hAnsi="宋体" w:eastAsia="仿宋_GB2312" w:cs="宋体"/>
                          <w:szCs w:val="24"/>
                        </w:rPr>
                      </w:pPr>
                      <w:r>
                        <w:rPr>
                          <w:rFonts w:hint="eastAsia" w:ascii="仿宋_GB2312" w:hAnsi="宋体" w:eastAsia="仿宋_GB2312" w:cs="宋体"/>
                          <w:szCs w:val="24"/>
                        </w:rPr>
                        <w:t xml:space="preserve">法人或授权代表：        </w:t>
                      </w:r>
                    </w:p>
                    <w:p w14:paraId="37089FB3">
                      <w:pPr>
                        <w:spacing w:line="360" w:lineRule="auto"/>
                        <w:ind w:firstLine="720" w:firstLineChars="300"/>
                        <w:rPr>
                          <w:rFonts w:ascii="仿宋_GB2312" w:eastAsia="仿宋_GB2312"/>
                          <w:szCs w:val="24"/>
                        </w:rPr>
                      </w:pPr>
                      <w:r>
                        <w:rPr>
                          <w:rFonts w:hint="eastAsia" w:ascii="仿宋_GB2312" w:hAnsi="宋体" w:eastAsia="仿宋_GB2312" w:cs="宋体"/>
                          <w:szCs w:val="24"/>
                        </w:rPr>
                        <w:t>年   月    日</w:t>
                      </w:r>
                    </w:p>
                  </w:txbxContent>
                </v:textbox>
              </v:shape>
            </w:pict>
          </mc:Fallback>
        </mc:AlternateContent>
      </w:r>
    </w:p>
    <w:bookmarkEnd w:id="8"/>
    <w:p w14:paraId="0977F249">
      <w:pPr>
        <w:ind w:firstLine="480"/>
      </w:pPr>
      <w:r>
        <w:rPr>
          <w:rFonts w:ascii="Times New Roman" w:hAnsi="Times New Roman" w:cs="Times New Roman"/>
          <w:szCs w:val="24"/>
        </w:rPr>
        <mc:AlternateContent>
          <mc:Choice Requires="wps">
            <w:drawing>
              <wp:anchor distT="0" distB="0" distL="114300" distR="114300" simplePos="0" relativeHeight="251659264" behindDoc="0" locked="0" layoutInCell="1" allowOverlap="1">
                <wp:simplePos x="0" y="0"/>
                <wp:positionH relativeFrom="margin">
                  <wp:posOffset>2816225</wp:posOffset>
                </wp:positionH>
                <wp:positionV relativeFrom="paragraph">
                  <wp:posOffset>11430</wp:posOffset>
                </wp:positionV>
                <wp:extent cx="2572385" cy="139065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572385" cy="1390650"/>
                        </a:xfrm>
                        <a:prstGeom prst="rect">
                          <a:avLst/>
                        </a:prstGeom>
                        <a:gradFill rotWithShape="0">
                          <a:gsLst>
                            <a:gs pos="0">
                              <a:srgbClr val="FFFFFF"/>
                            </a:gs>
                            <a:gs pos="100000">
                              <a:srgbClr val="FFFFFF"/>
                            </a:gs>
                          </a:gsLst>
                          <a:lin ang="0"/>
                        </a:gradFill>
                        <a:ln>
                          <a:noFill/>
                        </a:ln>
                      </wps:spPr>
                      <wps:txbx>
                        <w:txbxContent>
                          <w:p w14:paraId="56901838">
                            <w:pPr>
                              <w:spacing w:line="360" w:lineRule="auto"/>
                              <w:ind w:firstLine="480"/>
                              <w:rPr>
                                <w:rFonts w:ascii="仿宋_GB2312" w:hAnsi="宋体" w:eastAsia="仿宋_GB2312" w:cs="宋体"/>
                              </w:rPr>
                            </w:pPr>
                            <w:r>
                              <w:rPr>
                                <w:rFonts w:hint="eastAsia" w:ascii="仿宋_GB2312" w:hAnsi="宋体" w:eastAsia="仿宋_GB2312" w:cs="宋体"/>
                              </w:rPr>
                              <w:t>乙方：</w:t>
                            </w:r>
                          </w:p>
                          <w:p w14:paraId="1B7D7108">
                            <w:pPr>
                              <w:spacing w:line="360" w:lineRule="auto"/>
                              <w:ind w:firstLine="480"/>
                              <w:rPr>
                                <w:rFonts w:ascii="仿宋_GB2312" w:hAnsi="宋体" w:eastAsia="仿宋_GB2312" w:cs="宋体"/>
                              </w:rPr>
                            </w:pPr>
                            <w:r>
                              <w:rPr>
                                <w:rFonts w:hint="eastAsia" w:ascii="仿宋_GB2312" w:hAnsi="宋体" w:eastAsia="仿宋_GB2312" w:cs="宋体"/>
                              </w:rPr>
                              <w:t xml:space="preserve">法人或授权代表：        </w:t>
                            </w:r>
                          </w:p>
                          <w:p w14:paraId="6C0CC1BD">
                            <w:pPr>
                              <w:spacing w:line="360" w:lineRule="auto"/>
                              <w:ind w:firstLine="960" w:firstLineChars="400"/>
                              <w:rPr>
                                <w:rFonts w:ascii="仿宋_GB2312" w:hAnsi="宋体" w:eastAsia="仿宋_GB2312" w:cs="宋体"/>
                              </w:rPr>
                            </w:pPr>
                            <w:r>
                              <w:rPr>
                                <w:rFonts w:hint="eastAsia" w:ascii="仿宋_GB2312" w:hAnsi="宋体" w:eastAsia="仿宋_GB2312" w:cs="宋体"/>
                              </w:rPr>
                              <w:t>年   月   日</w:t>
                            </w:r>
                          </w:p>
                          <w:p w14:paraId="074C4E92">
                            <w:pPr>
                              <w:ind w:firstLine="480"/>
                            </w:pPr>
                          </w:p>
                          <w:p w14:paraId="028B3608">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1.75pt;margin-top:0.9pt;height:109.5pt;width:202.55pt;mso-position-horizontal-relative:margin;z-index:251659264;mso-width-relative:page;mso-height-relative:page;" fillcolor="#FFFFFF" filled="t" stroked="f" coordsize="21600,21600" o:gfxdata="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iTy&#10;CNcAAAAJAQAADwAAAAAAAAABACAAAAAiAAAAZHJzL2Rvd25yZXYueG1sUEsBAhQAFAAAAAgAh07i&#10;QKce8+9cAgAAuQQAAA4AAAAAAAAAAQAgAAAAJgEAAGRycy9lMm9Eb2MueG1sUEsFBgAAAAAGAAYA&#10;WQEAAPQFAAAAAA==&#10;">
                <v:fill type="gradient" on="t" color2="#FFFFFF" angle="90" focus="100%" focussize="0,0">
                  <o:fill type="gradientUnscaled" v:ext="backwardCompatible"/>
                </v:fill>
                <v:stroke on="f"/>
                <v:imagedata o:title=""/>
                <o:lock v:ext="edit" aspectratio="f"/>
                <v:textbox>
                  <w:txbxContent>
                    <w:p w14:paraId="56901838">
                      <w:pPr>
                        <w:spacing w:line="360" w:lineRule="auto"/>
                        <w:ind w:firstLine="480"/>
                        <w:rPr>
                          <w:rFonts w:ascii="仿宋_GB2312" w:hAnsi="宋体" w:eastAsia="仿宋_GB2312" w:cs="宋体"/>
                        </w:rPr>
                      </w:pPr>
                      <w:r>
                        <w:rPr>
                          <w:rFonts w:hint="eastAsia" w:ascii="仿宋_GB2312" w:hAnsi="宋体" w:eastAsia="仿宋_GB2312" w:cs="宋体"/>
                        </w:rPr>
                        <w:t>乙方：</w:t>
                      </w:r>
                    </w:p>
                    <w:p w14:paraId="1B7D7108">
                      <w:pPr>
                        <w:spacing w:line="360" w:lineRule="auto"/>
                        <w:ind w:firstLine="480"/>
                        <w:rPr>
                          <w:rFonts w:ascii="仿宋_GB2312" w:hAnsi="宋体" w:eastAsia="仿宋_GB2312" w:cs="宋体"/>
                        </w:rPr>
                      </w:pPr>
                      <w:r>
                        <w:rPr>
                          <w:rFonts w:hint="eastAsia" w:ascii="仿宋_GB2312" w:hAnsi="宋体" w:eastAsia="仿宋_GB2312" w:cs="宋体"/>
                        </w:rPr>
                        <w:t xml:space="preserve">法人或授权代表：        </w:t>
                      </w:r>
                    </w:p>
                    <w:p w14:paraId="6C0CC1BD">
                      <w:pPr>
                        <w:spacing w:line="360" w:lineRule="auto"/>
                        <w:ind w:firstLine="960" w:firstLineChars="400"/>
                        <w:rPr>
                          <w:rFonts w:ascii="仿宋_GB2312" w:hAnsi="宋体" w:eastAsia="仿宋_GB2312" w:cs="宋体"/>
                        </w:rPr>
                      </w:pPr>
                      <w:r>
                        <w:rPr>
                          <w:rFonts w:hint="eastAsia" w:ascii="仿宋_GB2312" w:hAnsi="宋体" w:eastAsia="仿宋_GB2312" w:cs="宋体"/>
                        </w:rPr>
                        <w:t>年   月   日</w:t>
                      </w:r>
                    </w:p>
                    <w:p w14:paraId="074C4E92">
                      <w:pPr>
                        <w:ind w:firstLine="480"/>
                      </w:pPr>
                    </w:p>
                    <w:p w14:paraId="028B3608">
                      <w:pPr>
                        <w:ind w:firstLine="480"/>
                      </w:pPr>
                    </w:p>
                  </w:txbxContent>
                </v:textbox>
              </v:shape>
            </w:pict>
          </mc:Fallback>
        </mc:AlternateContent>
      </w:r>
    </w:p>
    <w:p w14:paraId="7CE40023">
      <w:pPr>
        <w:ind w:firstLine="480"/>
      </w:pPr>
    </w:p>
    <w:p w14:paraId="4E96EA98">
      <w:pPr>
        <w:ind w:firstLine="480"/>
      </w:pPr>
    </w:p>
    <w:p w14:paraId="3536DBDB">
      <w:pPr>
        <w:ind w:firstLine="480"/>
      </w:pPr>
    </w:p>
    <w:p w14:paraId="6E1547E3">
      <w:pPr>
        <w:ind w:firstLine="480"/>
      </w:pPr>
    </w:p>
    <w:p w14:paraId="4DD53899">
      <w:pPr>
        <w:ind w:firstLine="480"/>
      </w:pPr>
    </w:p>
    <w:p w14:paraId="748DC6D0">
      <w:pPr>
        <w:ind w:firstLine="480"/>
      </w:pPr>
    </w:p>
    <w:p w14:paraId="4694AC24">
      <w:pPr>
        <w:ind w:firstLine="480"/>
      </w:pPr>
    </w:p>
    <w:p w14:paraId="030E7C75">
      <w:pPr>
        <w:ind w:firstLine="480"/>
      </w:pPr>
    </w:p>
    <w:p w14:paraId="7E7E8D8D">
      <w:r>
        <w:br w:type="page"/>
      </w:r>
    </w:p>
    <w:p w14:paraId="3A35ADB5">
      <w:pPr>
        <w:pStyle w:val="2"/>
        <w:ind w:firstLine="720"/>
        <w:rPr>
          <w:kern w:val="2"/>
          <w:sz w:val="24"/>
          <w:szCs w:val="22"/>
        </w:rPr>
      </w:pPr>
      <w:bookmarkStart w:id="10" w:name="_Toc161594381"/>
      <w:r>
        <w:rPr>
          <w:rFonts w:hint="eastAsia"/>
        </w:rPr>
        <w:t>第五章</w:t>
      </w:r>
      <w:r>
        <w:t xml:space="preserve"> </w:t>
      </w:r>
      <w:r>
        <w:rPr>
          <w:rFonts w:hint="eastAsia"/>
        </w:rPr>
        <w:t>附件</w:t>
      </w:r>
      <w:bookmarkEnd w:id="10"/>
    </w:p>
    <w:p w14:paraId="7F1149AE">
      <w:pPr>
        <w:widowControl/>
        <w:spacing w:line="360" w:lineRule="auto"/>
        <w:ind w:firstLine="0" w:firstLineChars="0"/>
        <w:jc w:val="left"/>
        <w:rPr>
          <w:rFonts w:ascii="仿宋_GB2312" w:hAnsi="宋体" w:eastAsia="仿宋_GB2312"/>
          <w:szCs w:val="24"/>
        </w:rPr>
      </w:pPr>
      <w:r>
        <w:rPr>
          <w:rFonts w:hint="eastAsia" w:ascii="仿宋_GB2312" w:hAnsi="宋体" w:eastAsia="仿宋_GB2312"/>
          <w:szCs w:val="24"/>
        </w:rPr>
        <w:t>附件1：</w:t>
      </w:r>
    </w:p>
    <w:p w14:paraId="1333D24A">
      <w:pPr>
        <w:widowControl/>
        <w:spacing w:line="360" w:lineRule="auto"/>
        <w:ind w:firstLine="643"/>
        <w:jc w:val="center"/>
        <w:rPr>
          <w:rFonts w:ascii="仿宋_GB2312" w:hAnsi="宋体" w:eastAsia="仿宋_GB2312"/>
          <w:b/>
          <w:bCs/>
          <w:sz w:val="32"/>
          <w:szCs w:val="32"/>
        </w:rPr>
      </w:pPr>
      <w:r>
        <w:rPr>
          <w:rFonts w:hint="eastAsia" w:ascii="仿宋_GB2312" w:hAnsi="宋体" w:eastAsia="仿宋_GB2312"/>
          <w:b/>
          <w:bCs/>
          <w:sz w:val="32"/>
          <w:szCs w:val="32"/>
        </w:rPr>
        <w:t>响应文件目录表</w:t>
      </w:r>
    </w:p>
    <w:p w14:paraId="43CC1A92">
      <w:pPr>
        <w:widowControl/>
        <w:spacing w:line="360" w:lineRule="auto"/>
        <w:ind w:firstLine="482"/>
        <w:rPr>
          <w:rFonts w:ascii="仿宋_GB2312" w:hAnsi="宋体" w:eastAsia="仿宋_GB2312"/>
          <w:b/>
          <w:bCs/>
          <w:szCs w:val="24"/>
        </w:rPr>
      </w:pPr>
    </w:p>
    <w:p w14:paraId="4C9A67E0">
      <w:pPr>
        <w:widowControl/>
        <w:spacing w:line="360" w:lineRule="auto"/>
        <w:ind w:firstLine="482"/>
        <w:rPr>
          <w:rFonts w:ascii="仿宋_GB2312" w:hAnsi="宋体" w:eastAsia="仿宋_GB2312"/>
          <w:b/>
          <w:bCs/>
          <w:szCs w:val="24"/>
        </w:rPr>
      </w:pPr>
      <w:r>
        <w:rPr>
          <w:rFonts w:hint="eastAsia" w:ascii="仿宋_GB2312" w:hAnsi="宋体" w:eastAsia="仿宋_GB2312"/>
          <w:b/>
          <w:bCs/>
          <w:szCs w:val="24"/>
        </w:rPr>
        <w:t>项目名称：</w:t>
      </w:r>
      <w:r>
        <w:rPr>
          <w:rFonts w:hint="eastAsia" w:ascii="仿宋_GB2312" w:hAnsi="宋体" w:eastAsia="仿宋_GB2312"/>
          <w:b/>
          <w:bCs/>
          <w:szCs w:val="24"/>
          <w:lang w:val="en-US" w:eastAsia="zh-CN"/>
        </w:rPr>
        <w:t>电梯维保</w:t>
      </w:r>
      <w:r>
        <w:rPr>
          <w:rFonts w:hint="eastAsia" w:ascii="仿宋_GB2312" w:hAnsi="宋体" w:eastAsia="仿宋_GB2312"/>
          <w:b/>
          <w:bCs/>
          <w:szCs w:val="24"/>
        </w:rPr>
        <w:t>服务</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60"/>
        <w:gridCol w:w="2074"/>
        <w:gridCol w:w="2074"/>
      </w:tblGrid>
      <w:tr w14:paraId="58E6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591233E">
            <w:pPr>
              <w:widowControl/>
              <w:spacing w:line="360" w:lineRule="auto"/>
              <w:ind w:firstLine="480"/>
              <w:jc w:val="center"/>
              <w:rPr>
                <w:rFonts w:ascii="仿宋_GB2312" w:hAnsi="宋体" w:eastAsia="仿宋_GB2312"/>
                <w:kern w:val="0"/>
                <w:szCs w:val="24"/>
              </w:rPr>
            </w:pPr>
            <w:r>
              <w:rPr>
                <w:rFonts w:hint="eastAsia" w:ascii="仿宋_GB2312" w:hAnsi="宋体" w:eastAsia="仿宋_GB2312"/>
                <w:kern w:val="0"/>
                <w:szCs w:val="24"/>
              </w:rPr>
              <w:t>序号</w:t>
            </w:r>
          </w:p>
        </w:tc>
        <w:tc>
          <w:tcPr>
            <w:tcW w:w="3160" w:type="dxa"/>
          </w:tcPr>
          <w:p w14:paraId="6E111BF3">
            <w:pPr>
              <w:widowControl/>
              <w:spacing w:line="360" w:lineRule="auto"/>
              <w:ind w:firstLine="480"/>
              <w:jc w:val="center"/>
              <w:rPr>
                <w:rFonts w:ascii="仿宋_GB2312" w:hAnsi="宋体" w:eastAsia="仿宋_GB2312"/>
                <w:kern w:val="0"/>
                <w:szCs w:val="24"/>
              </w:rPr>
            </w:pPr>
            <w:r>
              <w:rPr>
                <w:rFonts w:hint="eastAsia" w:ascii="仿宋_GB2312" w:hAnsi="宋体" w:eastAsia="仿宋_GB2312"/>
                <w:kern w:val="0"/>
                <w:szCs w:val="24"/>
              </w:rPr>
              <w:t>资料名称</w:t>
            </w:r>
          </w:p>
        </w:tc>
        <w:tc>
          <w:tcPr>
            <w:tcW w:w="2074" w:type="dxa"/>
          </w:tcPr>
          <w:p w14:paraId="734D58C4">
            <w:pPr>
              <w:widowControl/>
              <w:spacing w:line="360" w:lineRule="auto"/>
              <w:ind w:firstLine="480"/>
              <w:jc w:val="center"/>
              <w:rPr>
                <w:rFonts w:ascii="仿宋_GB2312" w:hAnsi="宋体" w:eastAsia="仿宋_GB2312"/>
                <w:kern w:val="0"/>
                <w:szCs w:val="24"/>
              </w:rPr>
            </w:pPr>
            <w:r>
              <w:rPr>
                <w:rFonts w:hint="eastAsia" w:ascii="仿宋_GB2312" w:hAnsi="宋体" w:eastAsia="仿宋_GB2312"/>
                <w:kern w:val="0"/>
                <w:szCs w:val="24"/>
              </w:rPr>
              <w:t>页码</w:t>
            </w:r>
          </w:p>
        </w:tc>
        <w:tc>
          <w:tcPr>
            <w:tcW w:w="2074" w:type="dxa"/>
          </w:tcPr>
          <w:p w14:paraId="42E4F707">
            <w:pPr>
              <w:widowControl/>
              <w:spacing w:line="360" w:lineRule="auto"/>
              <w:ind w:firstLine="480"/>
              <w:jc w:val="center"/>
              <w:rPr>
                <w:rFonts w:ascii="仿宋_GB2312" w:hAnsi="宋体" w:eastAsia="仿宋_GB2312"/>
                <w:kern w:val="0"/>
                <w:szCs w:val="24"/>
              </w:rPr>
            </w:pPr>
            <w:r>
              <w:rPr>
                <w:rFonts w:hint="eastAsia" w:ascii="仿宋_GB2312" w:hAnsi="宋体" w:eastAsia="仿宋_GB2312"/>
                <w:kern w:val="0"/>
                <w:szCs w:val="24"/>
              </w:rPr>
              <w:t>备注</w:t>
            </w:r>
          </w:p>
        </w:tc>
      </w:tr>
      <w:tr w14:paraId="741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A9C5A09">
            <w:pPr>
              <w:widowControl/>
              <w:spacing w:line="360" w:lineRule="auto"/>
              <w:ind w:firstLine="480"/>
              <w:jc w:val="center"/>
              <w:rPr>
                <w:rFonts w:ascii="仿宋_GB2312" w:hAnsi="宋体" w:eastAsia="仿宋_GB2312"/>
                <w:kern w:val="0"/>
                <w:szCs w:val="24"/>
              </w:rPr>
            </w:pPr>
          </w:p>
        </w:tc>
        <w:tc>
          <w:tcPr>
            <w:tcW w:w="3160" w:type="dxa"/>
          </w:tcPr>
          <w:p w14:paraId="5AB54797">
            <w:pPr>
              <w:widowControl/>
              <w:spacing w:line="360" w:lineRule="auto"/>
              <w:ind w:firstLine="480"/>
              <w:jc w:val="left"/>
              <w:rPr>
                <w:rFonts w:ascii="仿宋_GB2312" w:hAnsi="宋体" w:eastAsia="仿宋_GB2312"/>
                <w:kern w:val="0"/>
                <w:szCs w:val="24"/>
              </w:rPr>
            </w:pPr>
          </w:p>
        </w:tc>
        <w:tc>
          <w:tcPr>
            <w:tcW w:w="2074" w:type="dxa"/>
          </w:tcPr>
          <w:p w14:paraId="13A039AB">
            <w:pPr>
              <w:widowControl/>
              <w:spacing w:line="360" w:lineRule="auto"/>
              <w:ind w:firstLine="480"/>
              <w:jc w:val="left"/>
              <w:rPr>
                <w:rFonts w:ascii="仿宋_GB2312" w:hAnsi="宋体" w:eastAsia="仿宋_GB2312"/>
                <w:kern w:val="0"/>
                <w:szCs w:val="24"/>
              </w:rPr>
            </w:pPr>
          </w:p>
        </w:tc>
        <w:tc>
          <w:tcPr>
            <w:tcW w:w="2074" w:type="dxa"/>
          </w:tcPr>
          <w:p w14:paraId="0D9D1B27">
            <w:pPr>
              <w:widowControl/>
              <w:spacing w:line="360" w:lineRule="auto"/>
              <w:ind w:firstLine="480"/>
              <w:jc w:val="left"/>
              <w:rPr>
                <w:rFonts w:ascii="仿宋_GB2312" w:hAnsi="宋体" w:eastAsia="仿宋_GB2312"/>
                <w:kern w:val="0"/>
                <w:szCs w:val="24"/>
              </w:rPr>
            </w:pPr>
          </w:p>
        </w:tc>
      </w:tr>
      <w:tr w14:paraId="4FE7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9CE88C0">
            <w:pPr>
              <w:widowControl/>
              <w:spacing w:line="360" w:lineRule="auto"/>
              <w:ind w:firstLine="480"/>
              <w:jc w:val="center"/>
              <w:rPr>
                <w:rFonts w:ascii="仿宋_GB2312" w:hAnsi="宋体" w:eastAsia="仿宋_GB2312"/>
                <w:kern w:val="0"/>
                <w:szCs w:val="24"/>
              </w:rPr>
            </w:pPr>
          </w:p>
        </w:tc>
        <w:tc>
          <w:tcPr>
            <w:tcW w:w="3160" w:type="dxa"/>
          </w:tcPr>
          <w:p w14:paraId="621FFB9B">
            <w:pPr>
              <w:widowControl/>
              <w:spacing w:line="360" w:lineRule="auto"/>
              <w:ind w:firstLine="480"/>
              <w:jc w:val="left"/>
              <w:rPr>
                <w:rFonts w:ascii="仿宋_GB2312" w:hAnsi="宋体" w:eastAsia="仿宋_GB2312"/>
                <w:kern w:val="0"/>
                <w:szCs w:val="24"/>
              </w:rPr>
            </w:pPr>
          </w:p>
        </w:tc>
        <w:tc>
          <w:tcPr>
            <w:tcW w:w="2074" w:type="dxa"/>
          </w:tcPr>
          <w:p w14:paraId="5D85619A">
            <w:pPr>
              <w:widowControl/>
              <w:spacing w:line="360" w:lineRule="auto"/>
              <w:ind w:firstLine="480"/>
              <w:jc w:val="left"/>
              <w:rPr>
                <w:rFonts w:ascii="仿宋_GB2312" w:hAnsi="宋体" w:eastAsia="仿宋_GB2312"/>
                <w:kern w:val="0"/>
                <w:szCs w:val="24"/>
              </w:rPr>
            </w:pPr>
          </w:p>
        </w:tc>
        <w:tc>
          <w:tcPr>
            <w:tcW w:w="2074" w:type="dxa"/>
          </w:tcPr>
          <w:p w14:paraId="06D93FBF">
            <w:pPr>
              <w:widowControl/>
              <w:spacing w:line="360" w:lineRule="auto"/>
              <w:ind w:firstLine="480"/>
              <w:jc w:val="left"/>
              <w:rPr>
                <w:rFonts w:ascii="仿宋_GB2312" w:hAnsi="宋体" w:eastAsia="仿宋_GB2312"/>
                <w:kern w:val="0"/>
                <w:szCs w:val="24"/>
              </w:rPr>
            </w:pPr>
          </w:p>
        </w:tc>
      </w:tr>
      <w:tr w14:paraId="7557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4BE0B82">
            <w:pPr>
              <w:widowControl/>
              <w:spacing w:line="360" w:lineRule="auto"/>
              <w:ind w:firstLine="480"/>
              <w:jc w:val="center"/>
              <w:rPr>
                <w:rFonts w:ascii="仿宋_GB2312" w:hAnsi="宋体" w:eastAsia="仿宋_GB2312"/>
                <w:kern w:val="0"/>
                <w:szCs w:val="24"/>
              </w:rPr>
            </w:pPr>
          </w:p>
        </w:tc>
        <w:tc>
          <w:tcPr>
            <w:tcW w:w="3160" w:type="dxa"/>
          </w:tcPr>
          <w:p w14:paraId="5DC34C4F">
            <w:pPr>
              <w:widowControl/>
              <w:spacing w:line="360" w:lineRule="auto"/>
              <w:ind w:firstLine="480"/>
              <w:jc w:val="left"/>
              <w:rPr>
                <w:rFonts w:ascii="仿宋_GB2312" w:hAnsi="宋体" w:eastAsia="仿宋_GB2312"/>
                <w:kern w:val="0"/>
                <w:szCs w:val="24"/>
              </w:rPr>
            </w:pPr>
          </w:p>
        </w:tc>
        <w:tc>
          <w:tcPr>
            <w:tcW w:w="2074" w:type="dxa"/>
          </w:tcPr>
          <w:p w14:paraId="73CA63D1">
            <w:pPr>
              <w:widowControl/>
              <w:spacing w:line="360" w:lineRule="auto"/>
              <w:ind w:firstLine="480"/>
              <w:jc w:val="left"/>
              <w:rPr>
                <w:rFonts w:ascii="仿宋_GB2312" w:hAnsi="宋体" w:eastAsia="仿宋_GB2312"/>
                <w:kern w:val="0"/>
                <w:szCs w:val="24"/>
              </w:rPr>
            </w:pPr>
          </w:p>
        </w:tc>
        <w:tc>
          <w:tcPr>
            <w:tcW w:w="2074" w:type="dxa"/>
          </w:tcPr>
          <w:p w14:paraId="5D4E96F7">
            <w:pPr>
              <w:widowControl/>
              <w:spacing w:line="360" w:lineRule="auto"/>
              <w:ind w:firstLine="480"/>
              <w:jc w:val="left"/>
              <w:rPr>
                <w:rFonts w:ascii="仿宋_GB2312" w:hAnsi="宋体" w:eastAsia="仿宋_GB2312"/>
                <w:kern w:val="0"/>
                <w:szCs w:val="24"/>
              </w:rPr>
            </w:pPr>
          </w:p>
        </w:tc>
      </w:tr>
      <w:tr w14:paraId="1841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7D576AE">
            <w:pPr>
              <w:widowControl/>
              <w:spacing w:line="360" w:lineRule="auto"/>
              <w:ind w:firstLine="480"/>
              <w:jc w:val="center"/>
              <w:rPr>
                <w:rFonts w:ascii="仿宋_GB2312" w:hAnsi="宋体" w:eastAsia="仿宋_GB2312"/>
                <w:kern w:val="0"/>
                <w:szCs w:val="24"/>
              </w:rPr>
            </w:pPr>
          </w:p>
        </w:tc>
        <w:tc>
          <w:tcPr>
            <w:tcW w:w="3160" w:type="dxa"/>
          </w:tcPr>
          <w:p w14:paraId="26105DBF">
            <w:pPr>
              <w:widowControl/>
              <w:spacing w:line="360" w:lineRule="auto"/>
              <w:ind w:firstLine="480"/>
              <w:jc w:val="left"/>
              <w:rPr>
                <w:rFonts w:ascii="仿宋_GB2312" w:hAnsi="宋体" w:eastAsia="仿宋_GB2312"/>
                <w:kern w:val="0"/>
                <w:szCs w:val="24"/>
              </w:rPr>
            </w:pPr>
          </w:p>
        </w:tc>
        <w:tc>
          <w:tcPr>
            <w:tcW w:w="2074" w:type="dxa"/>
          </w:tcPr>
          <w:p w14:paraId="0EE1DA33">
            <w:pPr>
              <w:widowControl/>
              <w:spacing w:line="360" w:lineRule="auto"/>
              <w:ind w:firstLine="480"/>
              <w:jc w:val="left"/>
              <w:rPr>
                <w:rFonts w:ascii="仿宋_GB2312" w:hAnsi="宋体" w:eastAsia="仿宋_GB2312"/>
                <w:kern w:val="0"/>
                <w:szCs w:val="24"/>
              </w:rPr>
            </w:pPr>
          </w:p>
        </w:tc>
        <w:tc>
          <w:tcPr>
            <w:tcW w:w="2074" w:type="dxa"/>
          </w:tcPr>
          <w:p w14:paraId="4511377C">
            <w:pPr>
              <w:widowControl/>
              <w:spacing w:line="360" w:lineRule="auto"/>
              <w:ind w:firstLine="480"/>
              <w:jc w:val="left"/>
              <w:rPr>
                <w:rFonts w:ascii="仿宋_GB2312" w:hAnsi="宋体" w:eastAsia="仿宋_GB2312"/>
                <w:kern w:val="0"/>
                <w:szCs w:val="24"/>
              </w:rPr>
            </w:pPr>
          </w:p>
        </w:tc>
      </w:tr>
      <w:tr w14:paraId="15F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B30BE82">
            <w:pPr>
              <w:widowControl/>
              <w:spacing w:line="360" w:lineRule="auto"/>
              <w:ind w:firstLine="480"/>
              <w:jc w:val="center"/>
              <w:rPr>
                <w:rFonts w:ascii="仿宋_GB2312" w:hAnsi="宋体" w:eastAsia="仿宋_GB2312"/>
                <w:kern w:val="0"/>
                <w:szCs w:val="24"/>
              </w:rPr>
            </w:pPr>
          </w:p>
        </w:tc>
        <w:tc>
          <w:tcPr>
            <w:tcW w:w="3160" w:type="dxa"/>
          </w:tcPr>
          <w:p w14:paraId="4B0677C7">
            <w:pPr>
              <w:widowControl/>
              <w:spacing w:line="360" w:lineRule="auto"/>
              <w:ind w:firstLine="480"/>
              <w:jc w:val="left"/>
              <w:rPr>
                <w:rFonts w:ascii="仿宋_GB2312" w:hAnsi="宋体" w:eastAsia="仿宋_GB2312"/>
                <w:kern w:val="0"/>
                <w:szCs w:val="24"/>
              </w:rPr>
            </w:pPr>
          </w:p>
        </w:tc>
        <w:tc>
          <w:tcPr>
            <w:tcW w:w="2074" w:type="dxa"/>
          </w:tcPr>
          <w:p w14:paraId="6C29ACF9">
            <w:pPr>
              <w:widowControl/>
              <w:spacing w:line="360" w:lineRule="auto"/>
              <w:ind w:firstLine="480"/>
              <w:jc w:val="left"/>
              <w:rPr>
                <w:rFonts w:ascii="仿宋_GB2312" w:hAnsi="宋体" w:eastAsia="仿宋_GB2312"/>
                <w:kern w:val="0"/>
                <w:szCs w:val="24"/>
              </w:rPr>
            </w:pPr>
          </w:p>
        </w:tc>
        <w:tc>
          <w:tcPr>
            <w:tcW w:w="2074" w:type="dxa"/>
          </w:tcPr>
          <w:p w14:paraId="14EBD5DC">
            <w:pPr>
              <w:widowControl/>
              <w:spacing w:line="360" w:lineRule="auto"/>
              <w:ind w:firstLine="480"/>
              <w:jc w:val="left"/>
              <w:rPr>
                <w:rFonts w:ascii="仿宋_GB2312" w:hAnsi="宋体" w:eastAsia="仿宋_GB2312"/>
                <w:kern w:val="0"/>
                <w:szCs w:val="24"/>
              </w:rPr>
            </w:pPr>
          </w:p>
        </w:tc>
      </w:tr>
    </w:tbl>
    <w:p w14:paraId="571CE115">
      <w:pPr>
        <w:widowControl/>
        <w:spacing w:line="360" w:lineRule="auto"/>
        <w:ind w:firstLine="480"/>
        <w:jc w:val="left"/>
        <w:rPr>
          <w:rFonts w:ascii="仿宋_GB2312" w:hAnsi="宋体" w:eastAsia="仿宋_GB2312"/>
          <w:szCs w:val="24"/>
        </w:rPr>
      </w:pPr>
    </w:p>
    <w:p w14:paraId="173CA168">
      <w:pPr>
        <w:widowControl/>
        <w:spacing w:line="360" w:lineRule="auto"/>
        <w:ind w:firstLine="480"/>
        <w:jc w:val="left"/>
        <w:rPr>
          <w:rFonts w:ascii="仿宋_GB2312" w:hAnsi="宋体" w:eastAsia="仿宋_GB2312"/>
          <w:szCs w:val="24"/>
        </w:rPr>
      </w:pPr>
      <w:r>
        <w:rPr>
          <w:rFonts w:hint="eastAsia" w:ascii="仿宋_GB2312" w:hAnsi="宋体" w:eastAsia="仿宋_GB2312"/>
          <w:szCs w:val="24"/>
        </w:rPr>
        <w:t>注：请响应单位根据响应文件的编排情况仔细填写。</w:t>
      </w:r>
    </w:p>
    <w:p w14:paraId="5110BCBA">
      <w:pPr>
        <w:widowControl/>
        <w:spacing w:line="360" w:lineRule="auto"/>
        <w:ind w:firstLine="480"/>
        <w:jc w:val="left"/>
        <w:rPr>
          <w:rFonts w:ascii="仿宋_GB2312" w:hAnsi="宋体" w:eastAsia="仿宋_GB2312"/>
          <w:szCs w:val="24"/>
        </w:rPr>
      </w:pPr>
    </w:p>
    <w:p w14:paraId="487C9998">
      <w:pPr>
        <w:widowControl/>
        <w:spacing w:line="360" w:lineRule="auto"/>
        <w:ind w:firstLine="480"/>
        <w:jc w:val="left"/>
        <w:rPr>
          <w:rFonts w:ascii="仿宋_GB2312" w:hAnsi="宋体" w:eastAsia="仿宋_GB2312"/>
          <w:szCs w:val="24"/>
        </w:rPr>
      </w:pPr>
    </w:p>
    <w:p w14:paraId="2B60DA2B">
      <w:pPr>
        <w:widowControl/>
        <w:spacing w:line="360" w:lineRule="auto"/>
        <w:ind w:firstLine="480"/>
        <w:jc w:val="left"/>
        <w:rPr>
          <w:rFonts w:ascii="仿宋_GB2312" w:hAnsi="宋体" w:eastAsia="仿宋_GB2312"/>
          <w:szCs w:val="24"/>
        </w:rPr>
      </w:pPr>
    </w:p>
    <w:p w14:paraId="3514A6D9">
      <w:pPr>
        <w:widowControl/>
        <w:spacing w:line="360" w:lineRule="auto"/>
        <w:ind w:firstLine="480"/>
        <w:jc w:val="left"/>
        <w:rPr>
          <w:rFonts w:ascii="仿宋_GB2312" w:hAnsi="宋体" w:eastAsia="仿宋_GB2312"/>
          <w:szCs w:val="24"/>
        </w:rPr>
      </w:pPr>
    </w:p>
    <w:p w14:paraId="43724869">
      <w:pPr>
        <w:widowControl/>
        <w:spacing w:line="360" w:lineRule="auto"/>
        <w:ind w:firstLine="480"/>
        <w:jc w:val="left"/>
        <w:rPr>
          <w:rFonts w:ascii="仿宋_GB2312" w:hAnsi="宋体" w:eastAsia="仿宋_GB2312"/>
          <w:szCs w:val="24"/>
        </w:rPr>
      </w:pPr>
    </w:p>
    <w:p w14:paraId="389AD39D">
      <w:pPr>
        <w:widowControl/>
        <w:spacing w:line="360" w:lineRule="auto"/>
        <w:ind w:firstLine="480"/>
        <w:jc w:val="left"/>
        <w:rPr>
          <w:rFonts w:ascii="仿宋_GB2312" w:hAnsi="宋体" w:eastAsia="仿宋_GB2312"/>
          <w:szCs w:val="24"/>
        </w:rPr>
      </w:pPr>
    </w:p>
    <w:p w14:paraId="28E3190E">
      <w:pPr>
        <w:widowControl/>
        <w:spacing w:line="360" w:lineRule="auto"/>
        <w:ind w:firstLine="480"/>
        <w:jc w:val="left"/>
        <w:rPr>
          <w:rFonts w:ascii="仿宋_GB2312" w:hAnsi="宋体" w:eastAsia="仿宋_GB2312"/>
          <w:szCs w:val="24"/>
        </w:rPr>
      </w:pPr>
    </w:p>
    <w:p w14:paraId="043CA3EE">
      <w:pPr>
        <w:widowControl/>
        <w:spacing w:line="360" w:lineRule="auto"/>
        <w:ind w:firstLine="480"/>
        <w:jc w:val="left"/>
        <w:rPr>
          <w:rFonts w:ascii="仿宋_GB2312" w:hAnsi="宋体" w:eastAsia="仿宋_GB2312"/>
          <w:szCs w:val="24"/>
        </w:rPr>
      </w:pPr>
    </w:p>
    <w:p w14:paraId="4E18A512">
      <w:pPr>
        <w:widowControl/>
        <w:spacing w:line="360" w:lineRule="auto"/>
        <w:ind w:firstLine="480"/>
        <w:jc w:val="left"/>
        <w:rPr>
          <w:rFonts w:ascii="仿宋_GB2312" w:hAnsi="宋体" w:eastAsia="仿宋_GB2312"/>
          <w:szCs w:val="24"/>
        </w:rPr>
      </w:pPr>
    </w:p>
    <w:p w14:paraId="66E03859">
      <w:pPr>
        <w:widowControl/>
        <w:spacing w:line="360" w:lineRule="auto"/>
        <w:ind w:firstLine="480"/>
        <w:jc w:val="left"/>
        <w:rPr>
          <w:rFonts w:ascii="仿宋_GB2312" w:hAnsi="宋体" w:eastAsia="仿宋_GB2312"/>
          <w:szCs w:val="24"/>
        </w:rPr>
      </w:pPr>
    </w:p>
    <w:p w14:paraId="431727C4">
      <w:pPr>
        <w:widowControl/>
        <w:spacing w:line="360" w:lineRule="auto"/>
        <w:ind w:firstLine="480"/>
        <w:jc w:val="left"/>
        <w:rPr>
          <w:rFonts w:ascii="仿宋_GB2312" w:hAnsi="宋体" w:eastAsia="仿宋_GB2312"/>
          <w:szCs w:val="24"/>
        </w:rPr>
      </w:pPr>
    </w:p>
    <w:p w14:paraId="58A41D2B">
      <w:pPr>
        <w:widowControl/>
        <w:spacing w:line="360" w:lineRule="auto"/>
        <w:ind w:firstLine="480"/>
        <w:jc w:val="left"/>
        <w:rPr>
          <w:rFonts w:ascii="仿宋_GB2312" w:hAnsi="宋体" w:eastAsia="仿宋_GB2312"/>
          <w:szCs w:val="24"/>
        </w:rPr>
      </w:pPr>
    </w:p>
    <w:p w14:paraId="5EBE3243">
      <w:pPr>
        <w:spacing w:line="360" w:lineRule="auto"/>
        <w:ind w:firstLine="0" w:firstLineChars="0"/>
        <w:rPr>
          <w:rFonts w:ascii="仿宋_GB2312" w:hAnsi="宋体" w:eastAsia="仿宋_GB2312"/>
          <w:szCs w:val="24"/>
        </w:rPr>
      </w:pPr>
      <w:r>
        <w:rPr>
          <w:rFonts w:hint="eastAsia" w:ascii="仿宋_GB2312" w:hAnsi="宋体" w:eastAsia="仿宋_GB2312"/>
          <w:szCs w:val="24"/>
        </w:rPr>
        <w:t>附件2：</w:t>
      </w:r>
    </w:p>
    <w:p w14:paraId="3F9BC069">
      <w:pPr>
        <w:widowControl/>
        <w:spacing w:line="360" w:lineRule="auto"/>
        <w:ind w:firstLine="643"/>
        <w:jc w:val="center"/>
        <w:rPr>
          <w:rFonts w:ascii="仿宋_GB2312" w:hAnsi="宋体" w:eastAsia="仿宋_GB2312"/>
          <w:b/>
          <w:bCs/>
          <w:sz w:val="32"/>
          <w:szCs w:val="32"/>
        </w:rPr>
      </w:pPr>
      <w:bookmarkStart w:id="11" w:name="_Hlk73367655"/>
      <w:r>
        <w:rPr>
          <w:rFonts w:hint="eastAsia" w:ascii="仿宋_GB2312" w:hAnsi="宋体" w:eastAsia="仿宋_GB2312"/>
          <w:b/>
          <w:bCs/>
          <w:sz w:val="32"/>
          <w:szCs w:val="32"/>
        </w:rPr>
        <w:t>响 应 函</w:t>
      </w:r>
    </w:p>
    <w:p w14:paraId="2CC07602">
      <w:pPr>
        <w:spacing w:line="360" w:lineRule="auto"/>
        <w:ind w:firstLine="480"/>
        <w:jc w:val="center"/>
        <w:rPr>
          <w:rFonts w:ascii="仿宋_GB2312" w:hAnsi="宋体" w:eastAsia="仿宋_GB2312"/>
        </w:rPr>
      </w:pPr>
    </w:p>
    <w:p w14:paraId="120B0F8B">
      <w:pPr>
        <w:spacing w:line="360" w:lineRule="auto"/>
        <w:ind w:firstLine="480"/>
        <w:rPr>
          <w:rFonts w:ascii="仿宋_GB2312" w:hAnsi="宋体" w:eastAsia="仿宋_GB2312"/>
        </w:rPr>
      </w:pPr>
      <w:r>
        <w:rPr>
          <w:rFonts w:hint="eastAsia" w:ascii="仿宋_GB2312" w:hAnsi="宋体" w:eastAsia="仿宋_GB2312"/>
        </w:rPr>
        <w:t xml:space="preserve">致：深圳书城龙华城实业有限公司 </w:t>
      </w:r>
    </w:p>
    <w:p w14:paraId="29341B48">
      <w:pPr>
        <w:spacing w:line="360" w:lineRule="auto"/>
        <w:ind w:firstLine="480"/>
        <w:rPr>
          <w:rFonts w:ascii="仿宋_GB2312" w:hAnsi="宋体" w:eastAsia="仿宋_GB2312"/>
          <w:u w:val="single"/>
        </w:rPr>
      </w:pPr>
      <w:r>
        <w:rPr>
          <w:rFonts w:hint="eastAsia" w:ascii="仿宋_GB2312" w:hAnsi="宋体" w:eastAsia="仿宋_GB2312"/>
        </w:rPr>
        <w:t>1.我方已仔细研究了</w:t>
      </w:r>
      <w:r>
        <w:rPr>
          <w:rFonts w:hint="eastAsia" w:ascii="仿宋_GB2312" w:hAnsi="宋体" w:eastAsia="仿宋_GB2312"/>
          <w:color w:val="000000" w:themeColor="text1"/>
          <w:szCs w:val="24"/>
          <w:lang w:val="en-US" w:eastAsia="zh-CN"/>
          <w14:textFill>
            <w14:solidFill>
              <w14:schemeClr w14:val="tx1"/>
            </w14:solidFill>
          </w14:textFill>
        </w:rPr>
        <w:t>电梯维保</w:t>
      </w:r>
      <w:r>
        <w:rPr>
          <w:rFonts w:hint="eastAsia" w:ascii="仿宋_GB2312" w:hAnsi="宋体" w:eastAsia="仿宋_GB2312"/>
        </w:rPr>
        <w:t>项目的采购文件的全部内容，愿意以响应文件中的报价提供本项目服务。并郑重声明：我公司具备履行本项采购合同所必需的设备和专业技术能力。</w:t>
      </w:r>
    </w:p>
    <w:p w14:paraId="12EF1336">
      <w:pPr>
        <w:spacing w:line="360" w:lineRule="auto"/>
        <w:ind w:firstLine="480"/>
        <w:rPr>
          <w:rFonts w:ascii="仿宋_GB2312" w:hAnsi="宋体" w:eastAsia="仿宋_GB2312"/>
        </w:rPr>
      </w:pPr>
      <w:r>
        <w:rPr>
          <w:rFonts w:hint="eastAsia" w:ascii="仿宋_GB2312" w:hAnsi="宋体" w:eastAsia="仿宋_GB2312"/>
        </w:rPr>
        <w:t>2.如我方成交，我方承诺：</w:t>
      </w:r>
    </w:p>
    <w:p w14:paraId="3BBCC72B">
      <w:pPr>
        <w:spacing w:line="360" w:lineRule="auto"/>
        <w:ind w:firstLine="480"/>
        <w:rPr>
          <w:rFonts w:ascii="仿宋_GB2312" w:hAnsi="宋体" w:eastAsia="仿宋_GB2312"/>
        </w:rPr>
      </w:pPr>
      <w:r>
        <w:rPr>
          <w:rFonts w:hint="eastAsia" w:ascii="仿宋_GB2312" w:hAnsi="宋体" w:eastAsia="仿宋_GB2312"/>
        </w:rPr>
        <w:t>（1）在收到成交通知书后，在成交通知书规定的期限内与你方签订合同。</w:t>
      </w:r>
    </w:p>
    <w:p w14:paraId="2E0CE9D7">
      <w:pPr>
        <w:spacing w:line="360" w:lineRule="auto"/>
        <w:ind w:firstLine="480"/>
        <w:rPr>
          <w:rFonts w:ascii="仿宋_GB2312" w:hAnsi="宋体" w:eastAsia="仿宋_GB2312"/>
        </w:rPr>
      </w:pPr>
      <w:r>
        <w:rPr>
          <w:rFonts w:hint="eastAsia" w:ascii="仿宋_GB2312" w:hAnsi="宋体" w:eastAsia="仿宋_GB2312"/>
        </w:rPr>
        <w:t>（2）在签订合同时不向你方提出附加条件。</w:t>
      </w:r>
    </w:p>
    <w:p w14:paraId="439690C6">
      <w:pPr>
        <w:spacing w:line="360" w:lineRule="auto"/>
        <w:ind w:firstLine="480"/>
        <w:rPr>
          <w:rFonts w:ascii="仿宋_GB2312" w:hAnsi="宋体" w:eastAsia="仿宋_GB2312"/>
        </w:rPr>
      </w:pPr>
      <w:r>
        <w:rPr>
          <w:rFonts w:hint="eastAsia" w:ascii="仿宋_GB2312" w:hAnsi="宋体" w:eastAsia="仿宋_GB2312"/>
        </w:rPr>
        <w:t>（3）在合同约定的期限内完成合同约定的全部义务。</w:t>
      </w:r>
    </w:p>
    <w:p w14:paraId="24A8B4A4">
      <w:pPr>
        <w:spacing w:line="360" w:lineRule="auto"/>
        <w:ind w:firstLine="480"/>
        <w:rPr>
          <w:rFonts w:ascii="仿宋_GB2312" w:hAnsi="宋体" w:eastAsia="仿宋_GB2312"/>
        </w:rPr>
      </w:pPr>
      <w:r>
        <w:rPr>
          <w:rFonts w:hint="eastAsia" w:ascii="仿宋_GB2312" w:hAnsi="宋体" w:eastAsia="仿宋_GB2312"/>
        </w:rPr>
        <w:t>3.我方承诺，所递交的响应文件</w:t>
      </w:r>
      <w:bookmarkStart w:id="12" w:name="_Hlk73969062"/>
      <w:r>
        <w:rPr>
          <w:rFonts w:hint="eastAsia" w:ascii="仿宋_GB2312" w:hAnsi="宋体" w:eastAsia="仿宋_GB2312"/>
        </w:rPr>
        <w:t>及有关资料</w:t>
      </w:r>
      <w:bookmarkEnd w:id="12"/>
      <w:r>
        <w:rPr>
          <w:rFonts w:hint="eastAsia" w:ascii="仿宋_GB2312" w:hAnsi="宋体" w:eastAsia="仿宋_GB2312"/>
        </w:rPr>
        <w:t>的全部内容真实有效，并承担由于提供虚假材料而产生的一切后果。我方愿意提供采购人可能另外要求的、与采购有关的文件资料。</w:t>
      </w:r>
    </w:p>
    <w:p w14:paraId="01693567">
      <w:pPr>
        <w:spacing w:line="360" w:lineRule="auto"/>
        <w:ind w:firstLine="480"/>
        <w:rPr>
          <w:rFonts w:ascii="仿宋_GB2312" w:hAnsi="宋体" w:eastAsia="仿宋_GB2312"/>
        </w:rPr>
      </w:pPr>
      <w:r>
        <w:rPr>
          <w:rFonts w:hint="eastAsia" w:ascii="仿宋_GB2312" w:hAnsi="宋体" w:eastAsia="仿宋_GB2312"/>
        </w:rPr>
        <w:t>4.我方承诺，我方提交的响应文件及有关资料所涉及的知识产权无偿地许可采购人在本项目中借鉴及使用。</w:t>
      </w:r>
    </w:p>
    <w:p w14:paraId="4761B74F">
      <w:pPr>
        <w:spacing w:line="360" w:lineRule="auto"/>
        <w:ind w:firstLine="480"/>
        <w:rPr>
          <w:rFonts w:ascii="仿宋_GB2312" w:hAnsi="宋体" w:eastAsia="仿宋_GB2312"/>
        </w:rPr>
      </w:pPr>
    </w:p>
    <w:p w14:paraId="7432D426">
      <w:pPr>
        <w:spacing w:line="360" w:lineRule="auto"/>
        <w:ind w:firstLine="480"/>
        <w:rPr>
          <w:rFonts w:ascii="仿宋_GB2312" w:hAnsi="宋体" w:eastAsia="仿宋_GB2312"/>
        </w:rPr>
      </w:pPr>
    </w:p>
    <w:p w14:paraId="35B04BB7">
      <w:pPr>
        <w:spacing w:line="360" w:lineRule="auto"/>
        <w:ind w:firstLine="480"/>
        <w:rPr>
          <w:rFonts w:ascii="仿宋_GB2312" w:hAnsi="宋体" w:eastAsia="仿宋_GB2312"/>
          <w:u w:val="single"/>
        </w:rPr>
      </w:pPr>
    </w:p>
    <w:p w14:paraId="0BEB3AF2">
      <w:pPr>
        <w:spacing w:line="360" w:lineRule="auto"/>
        <w:ind w:firstLine="480"/>
        <w:jc w:val="center"/>
        <w:rPr>
          <w:rFonts w:ascii="仿宋_GB2312" w:hAnsi="宋体" w:eastAsia="仿宋_GB2312"/>
          <w:szCs w:val="24"/>
          <w:u w:val="single"/>
        </w:rPr>
      </w:pPr>
      <w:bookmarkStart w:id="13" w:name="_Hlk65507736"/>
      <w:r>
        <w:rPr>
          <w:rFonts w:hint="eastAsia" w:ascii="仿宋_GB2312" w:hAnsi="宋体" w:eastAsia="仿宋_GB2312"/>
          <w:color w:val="000000" w:themeColor="text1"/>
          <w:szCs w:val="24"/>
          <w14:textFill>
            <w14:solidFill>
              <w14:schemeClr w14:val="tx1"/>
            </w14:solidFill>
          </w14:textFill>
        </w:rPr>
        <w:t xml:space="preserve"> 响 应 单 位</w:t>
      </w:r>
      <w:r>
        <w:rPr>
          <w:rFonts w:hint="eastAsia" w:ascii="仿宋_GB2312" w:hAnsi="宋体" w:eastAsia="仿宋_GB2312"/>
          <w:szCs w:val="24"/>
        </w:rPr>
        <w:t>(公章)：</w:t>
      </w:r>
      <w:r>
        <w:rPr>
          <w:rFonts w:hint="eastAsia" w:ascii="仿宋_GB2312" w:hAnsi="宋体" w:eastAsia="仿宋_GB2312"/>
          <w:szCs w:val="24"/>
          <w:u w:val="single"/>
        </w:rPr>
        <w:t xml:space="preserve">                                   </w:t>
      </w:r>
    </w:p>
    <w:p w14:paraId="0E007D82">
      <w:pPr>
        <w:spacing w:line="360" w:lineRule="auto"/>
        <w:ind w:firstLine="480"/>
        <w:jc w:val="center"/>
        <w:rPr>
          <w:rFonts w:ascii="仿宋_GB2312" w:hAnsi="宋体" w:eastAsia="仿宋_GB2312"/>
          <w:szCs w:val="24"/>
        </w:rPr>
      </w:pPr>
    </w:p>
    <w:p w14:paraId="0B621726">
      <w:pPr>
        <w:spacing w:line="360" w:lineRule="auto"/>
        <w:ind w:firstLine="480"/>
        <w:jc w:val="center"/>
        <w:rPr>
          <w:rFonts w:ascii="仿宋_GB2312" w:hAnsi="宋体" w:eastAsia="仿宋_GB2312"/>
          <w:szCs w:val="24"/>
        </w:rPr>
      </w:pPr>
      <w:r>
        <w:rPr>
          <w:rFonts w:hint="eastAsia" w:ascii="仿宋_GB2312" w:hAnsi="宋体" w:eastAsia="仿宋_GB2312"/>
          <w:szCs w:val="24"/>
        </w:rPr>
        <w:t>法定代表人(签名)：</w:t>
      </w:r>
      <w:r>
        <w:rPr>
          <w:rFonts w:hint="eastAsia" w:ascii="仿宋_GB2312" w:hAnsi="宋体" w:eastAsia="仿宋_GB2312"/>
          <w:szCs w:val="24"/>
          <w:u w:val="single"/>
        </w:rPr>
        <w:t xml:space="preserve">                                     </w:t>
      </w:r>
    </w:p>
    <w:p w14:paraId="37D33E15">
      <w:pPr>
        <w:spacing w:line="360" w:lineRule="auto"/>
        <w:ind w:firstLine="480"/>
        <w:jc w:val="center"/>
        <w:rPr>
          <w:rFonts w:ascii="仿宋_GB2312" w:hAnsi="宋体" w:eastAsia="仿宋_GB2312"/>
          <w:szCs w:val="24"/>
        </w:rPr>
      </w:pPr>
    </w:p>
    <w:p w14:paraId="53F8D14B">
      <w:pPr>
        <w:spacing w:line="360" w:lineRule="auto"/>
        <w:ind w:firstLine="480"/>
        <w:jc w:val="center"/>
        <w:rPr>
          <w:rFonts w:ascii="仿宋_GB2312" w:hAnsi="宋体" w:eastAsia="仿宋_GB2312" w:cs="Times New Roman"/>
          <w:kern w:val="0"/>
          <w:szCs w:val="24"/>
        </w:rPr>
      </w:pPr>
      <w:r>
        <w:rPr>
          <w:rFonts w:hint="eastAsia" w:ascii="仿宋_GB2312" w:hAnsi="宋体" w:eastAsia="仿宋_GB2312"/>
          <w:szCs w:val="24"/>
        </w:rPr>
        <w:t>日           期：</w:t>
      </w:r>
      <w:r>
        <w:rPr>
          <w:rFonts w:hint="eastAsia" w:ascii="仿宋_GB2312" w:hAnsi="宋体" w:eastAsia="仿宋_GB2312"/>
          <w:szCs w:val="24"/>
          <w:u w:val="single"/>
        </w:rPr>
        <w:t xml:space="preserve">                              </w:t>
      </w:r>
    </w:p>
    <w:bookmarkEnd w:id="11"/>
    <w:p w14:paraId="3BB6F6A2">
      <w:pPr>
        <w:spacing w:line="360" w:lineRule="auto"/>
        <w:ind w:firstLine="480"/>
        <w:jc w:val="center"/>
        <w:rPr>
          <w:rFonts w:ascii="宋体" w:hAnsi="宋体" w:cs="Times New Roman"/>
          <w:kern w:val="0"/>
          <w:szCs w:val="24"/>
        </w:rPr>
      </w:pPr>
    </w:p>
    <w:p w14:paraId="64E238FB">
      <w:pPr>
        <w:spacing w:line="360" w:lineRule="auto"/>
        <w:ind w:firstLine="480"/>
        <w:rPr>
          <w:rFonts w:ascii="宋体" w:hAnsi="宋体" w:cs="Times New Roman"/>
          <w:kern w:val="0"/>
          <w:szCs w:val="24"/>
        </w:rPr>
      </w:pPr>
    </w:p>
    <w:p w14:paraId="6A9FB6DA">
      <w:pPr>
        <w:widowControl/>
        <w:ind w:firstLine="480"/>
        <w:jc w:val="left"/>
        <w:rPr>
          <w:rFonts w:ascii="宋体" w:hAnsi="宋体" w:cs="Times New Roman"/>
          <w:kern w:val="0"/>
          <w:szCs w:val="24"/>
        </w:rPr>
      </w:pPr>
      <w:r>
        <w:rPr>
          <w:rFonts w:ascii="宋体" w:hAnsi="宋体" w:cs="Times New Roman"/>
          <w:kern w:val="0"/>
          <w:szCs w:val="24"/>
        </w:rPr>
        <w:br w:type="page"/>
      </w:r>
    </w:p>
    <w:p w14:paraId="4340F8FA">
      <w:pPr>
        <w:spacing w:line="360" w:lineRule="auto"/>
        <w:ind w:firstLine="480"/>
        <w:rPr>
          <w:rFonts w:ascii="仿宋_GB2312" w:hAnsi="宋体" w:eastAsia="仿宋_GB2312" w:cs="Times New Roman"/>
          <w:kern w:val="0"/>
          <w:szCs w:val="24"/>
        </w:rPr>
      </w:pPr>
      <w:r>
        <w:rPr>
          <w:rFonts w:hint="eastAsia" w:ascii="仿宋_GB2312" w:hAnsi="宋体" w:eastAsia="仿宋_GB2312" w:cs="Times New Roman"/>
          <w:kern w:val="0"/>
          <w:szCs w:val="24"/>
        </w:rPr>
        <w:t>附件3：</w:t>
      </w:r>
    </w:p>
    <w:p w14:paraId="5BA75C22">
      <w:pPr>
        <w:widowControl/>
        <w:spacing w:line="360" w:lineRule="auto"/>
        <w:ind w:firstLine="643"/>
        <w:jc w:val="center"/>
        <w:rPr>
          <w:rFonts w:ascii="仿宋_GB2312" w:hAnsi="宋体" w:eastAsia="仿宋_GB2312"/>
          <w:b/>
          <w:bCs/>
          <w:sz w:val="32"/>
          <w:szCs w:val="32"/>
        </w:rPr>
      </w:pPr>
      <w:r>
        <w:rPr>
          <w:rFonts w:hint="eastAsia" w:ascii="仿宋_GB2312" w:hAnsi="宋体" w:eastAsia="仿宋_GB2312"/>
          <w:b/>
          <w:bCs/>
          <w:sz w:val="32"/>
          <w:szCs w:val="32"/>
        </w:rPr>
        <w:t>法定代表人身份证明书</w:t>
      </w:r>
    </w:p>
    <w:bookmarkEnd w:id="13"/>
    <w:p w14:paraId="43477661">
      <w:pPr>
        <w:spacing w:line="360" w:lineRule="auto"/>
        <w:ind w:firstLine="482"/>
        <w:jc w:val="center"/>
        <w:rPr>
          <w:rFonts w:ascii="仿宋_GB2312" w:hAnsi="宋体" w:eastAsia="仿宋_GB2312" w:cs="Times New Roman"/>
          <w:b/>
          <w:bCs/>
          <w:kern w:val="0"/>
          <w:szCs w:val="24"/>
        </w:rPr>
      </w:pPr>
    </w:p>
    <w:p w14:paraId="5B330AB8">
      <w:pPr>
        <w:spacing w:line="360" w:lineRule="auto"/>
        <w:ind w:firstLine="480"/>
        <w:rPr>
          <w:rFonts w:ascii="仿宋_GB2312" w:hAnsi="宋体" w:eastAsia="仿宋_GB2312" w:cs="Times New Roman"/>
          <w:szCs w:val="24"/>
        </w:rPr>
      </w:pPr>
      <w:r>
        <w:rPr>
          <w:rFonts w:hint="eastAsia" w:ascii="仿宋_GB2312" w:hAnsi="宋体" w:eastAsia="仿宋_GB2312" w:cs="Times New Roman"/>
          <w:szCs w:val="24"/>
        </w:rPr>
        <w:t>单位名称：</w:t>
      </w:r>
      <w:r>
        <w:rPr>
          <w:rFonts w:hint="eastAsia" w:ascii="仿宋_GB2312" w:hAnsi="宋体" w:eastAsia="仿宋_GB2312" w:cs="Times New Roman"/>
          <w:szCs w:val="24"/>
          <w:u w:val="single"/>
        </w:rPr>
        <w:t xml:space="preserve">                                                           </w:t>
      </w:r>
    </w:p>
    <w:p w14:paraId="2DE4A2FC">
      <w:pPr>
        <w:spacing w:line="360" w:lineRule="auto"/>
        <w:ind w:firstLine="480"/>
        <w:rPr>
          <w:rFonts w:ascii="仿宋_GB2312" w:hAnsi="宋体" w:eastAsia="仿宋_GB2312" w:cs="Times New Roman"/>
          <w:szCs w:val="24"/>
        </w:rPr>
      </w:pPr>
      <w:r>
        <w:rPr>
          <w:rFonts w:hint="eastAsia" w:ascii="仿宋_GB2312" w:hAnsi="宋体" w:eastAsia="仿宋_GB2312" w:cs="Times New Roman"/>
          <w:szCs w:val="24"/>
        </w:rPr>
        <w:t>地    址：</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w:t>
      </w:r>
    </w:p>
    <w:p w14:paraId="17310A79">
      <w:pPr>
        <w:spacing w:line="360" w:lineRule="auto"/>
        <w:ind w:firstLine="482"/>
        <w:rPr>
          <w:rFonts w:ascii="仿宋_GB2312" w:hAnsi="宋体" w:eastAsia="仿宋_GB2312" w:cs="Times New Roman"/>
          <w:szCs w:val="24"/>
        </w:rPr>
      </w:pPr>
      <w:r>
        <w:rPr>
          <w:rFonts w:hint="eastAsia" w:ascii="仿宋_GB2312" w:hAnsi="宋体" w:eastAsia="仿宋_GB2312" w:cs="Times New Roman"/>
          <w:b/>
          <w:bCs/>
          <w:kern w:val="0"/>
          <w:szCs w:val="24"/>
        </w:rPr>
        <w:t>法定代表人</w:t>
      </w:r>
      <w:r>
        <w:rPr>
          <w:rFonts w:hint="eastAsia" w:ascii="仿宋_GB2312" w:hAnsi="宋体" w:eastAsia="仿宋_GB2312" w:cs="Times New Roman"/>
          <w:szCs w:val="24"/>
        </w:rPr>
        <w:t>姓名：</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职务：</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w:t>
      </w:r>
    </w:p>
    <w:p w14:paraId="456784A4">
      <w:pPr>
        <w:spacing w:line="360" w:lineRule="auto"/>
        <w:ind w:firstLine="480"/>
        <w:rPr>
          <w:rFonts w:ascii="仿宋_GB2312" w:hAnsi="宋体" w:eastAsia="仿宋_GB2312" w:cs="Times New Roman"/>
          <w:szCs w:val="24"/>
          <w:u w:val="single"/>
        </w:rPr>
      </w:pPr>
      <w:r>
        <w:rPr>
          <w:rFonts w:hint="eastAsia" w:ascii="仿宋_GB2312" w:hAnsi="宋体" w:eastAsia="仿宋_GB2312" w:cs="Times New Roman"/>
          <w:szCs w:val="24"/>
        </w:rPr>
        <w:t>身份证号码：</w:t>
      </w:r>
      <w:r>
        <w:rPr>
          <w:rFonts w:hint="eastAsia" w:ascii="仿宋_GB2312" w:hAnsi="宋体" w:eastAsia="仿宋_GB2312" w:cs="Times New Roman"/>
          <w:szCs w:val="24"/>
          <w:u w:val="single"/>
        </w:rPr>
        <w:t xml:space="preserve">                             </w:t>
      </w:r>
    </w:p>
    <w:p w14:paraId="55D26533">
      <w:pPr>
        <w:spacing w:line="360" w:lineRule="auto"/>
        <w:ind w:firstLine="480"/>
        <w:rPr>
          <w:rFonts w:ascii="仿宋_GB2312" w:hAnsi="宋体" w:eastAsia="仿宋_GB2312" w:cs="Times New Roman"/>
          <w:szCs w:val="24"/>
        </w:rPr>
      </w:pPr>
    </w:p>
    <w:p w14:paraId="4209349B">
      <w:pPr>
        <w:spacing w:line="360" w:lineRule="auto"/>
        <w:ind w:firstLine="480"/>
        <w:rPr>
          <w:rFonts w:ascii="仿宋_GB2312" w:hAnsi="宋体" w:eastAsia="仿宋_GB2312"/>
          <w:color w:val="000000" w:themeColor="text1"/>
          <w:szCs w:val="24"/>
          <w14:textFill>
            <w14:solidFill>
              <w14:schemeClr w14:val="tx1"/>
            </w14:solidFill>
          </w14:textFill>
        </w:rPr>
      </w:pPr>
      <w:r>
        <w:rPr>
          <w:rFonts w:hint="eastAsia" w:ascii="仿宋_GB2312" w:hAnsi="宋体" w:eastAsia="仿宋_GB2312"/>
          <w:color w:val="000000" w:themeColor="text1"/>
          <w:szCs w:val="24"/>
          <w14:textFill>
            <w14:solidFill>
              <w14:schemeClr w14:val="tx1"/>
            </w14:solidFill>
          </w14:textFill>
        </w:rPr>
        <w:t>本证明书仅用于本单位</w:t>
      </w:r>
      <w:bookmarkStart w:id="14" w:name="_Hlk65521378"/>
      <w:r>
        <w:rPr>
          <w:rFonts w:hint="eastAsia" w:ascii="仿宋_GB2312" w:hAnsi="宋体" w:eastAsia="仿宋_GB2312"/>
          <w:color w:val="000000" w:themeColor="text1"/>
          <w:szCs w:val="24"/>
          <w14:textFill>
            <w14:solidFill>
              <w14:schemeClr w14:val="tx1"/>
            </w14:solidFill>
          </w14:textFill>
        </w:rPr>
        <w:t>签署</w:t>
      </w:r>
      <w:bookmarkEnd w:id="14"/>
      <w:r>
        <w:rPr>
          <w:rFonts w:hint="eastAsia" w:ascii="仿宋_GB2312" w:hAnsi="宋体" w:eastAsia="仿宋_GB2312"/>
          <w:color w:val="000000" w:themeColor="text1"/>
          <w:szCs w:val="24"/>
          <w:lang w:val="en-US" w:eastAsia="zh-CN"/>
          <w14:textFill>
            <w14:solidFill>
              <w14:schemeClr w14:val="tx1"/>
            </w14:solidFill>
          </w14:textFill>
        </w:rPr>
        <w:t>电梯维保</w:t>
      </w:r>
      <w:r>
        <w:rPr>
          <w:rFonts w:hint="eastAsia" w:ascii="仿宋_GB2312" w:hAnsi="宋体" w:eastAsia="仿宋_GB2312"/>
          <w:color w:val="000000" w:themeColor="text1"/>
          <w:szCs w:val="24"/>
          <w14:textFill>
            <w14:solidFill>
              <w14:schemeClr w14:val="tx1"/>
            </w14:solidFill>
          </w14:textFill>
        </w:rPr>
        <w:t>项目的响应文件、签订合同和处理与之有关的一切事务。</w:t>
      </w:r>
    </w:p>
    <w:p w14:paraId="44F1F13C">
      <w:pPr>
        <w:spacing w:line="360" w:lineRule="auto"/>
        <w:ind w:firstLine="480"/>
        <w:rPr>
          <w:rFonts w:ascii="仿宋_GB2312" w:hAnsi="宋体" w:eastAsia="仿宋_GB2312"/>
          <w:color w:val="000000" w:themeColor="text1"/>
          <w:szCs w:val="24"/>
          <w14:textFill>
            <w14:solidFill>
              <w14:schemeClr w14:val="tx1"/>
            </w14:solidFill>
          </w14:textFill>
        </w:rPr>
      </w:pPr>
      <w:r>
        <w:rPr>
          <w:rFonts w:hint="eastAsia" w:ascii="仿宋_GB2312" w:hAnsi="宋体" w:eastAsia="仿宋_GB2312" w:cs="Times New Roman"/>
          <w:szCs w:val="24"/>
        </w:rPr>
        <w:t>特此证明。</w:t>
      </w:r>
    </w:p>
    <w:p w14:paraId="0F770AE6">
      <w:pPr>
        <w:spacing w:line="360" w:lineRule="auto"/>
        <w:ind w:firstLine="480"/>
        <w:rPr>
          <w:rFonts w:ascii="仿宋_GB2312" w:hAnsi="宋体" w:eastAsia="仿宋_GB2312" w:cs="Times New Roman"/>
          <w:szCs w:val="24"/>
        </w:rPr>
      </w:pPr>
    </w:p>
    <w:p w14:paraId="7670471B">
      <w:pPr>
        <w:spacing w:line="360" w:lineRule="auto"/>
        <w:ind w:firstLine="480"/>
        <w:rPr>
          <w:rFonts w:ascii="仿宋_GB2312" w:hAnsi="宋体" w:eastAsia="仿宋_GB2312" w:cs="Times New Roman"/>
          <w:szCs w:val="24"/>
        </w:rPr>
      </w:pPr>
    </w:p>
    <w:p w14:paraId="3EFBD5AE">
      <w:pPr>
        <w:spacing w:line="360" w:lineRule="auto"/>
        <w:ind w:firstLine="480"/>
        <w:rPr>
          <w:rFonts w:ascii="仿宋_GB2312" w:hAnsi="宋体" w:eastAsia="仿宋_GB2312" w:cs="Times New Roman"/>
          <w:szCs w:val="24"/>
        </w:rPr>
      </w:pPr>
    </w:p>
    <w:p w14:paraId="57BAEB94">
      <w:pPr>
        <w:spacing w:line="360" w:lineRule="auto"/>
        <w:ind w:firstLine="480"/>
        <w:rPr>
          <w:rFonts w:ascii="仿宋_GB2312" w:hAnsi="宋体" w:eastAsia="仿宋_GB2312" w:cs="Times New Roman"/>
          <w:szCs w:val="24"/>
        </w:rPr>
      </w:pPr>
    </w:p>
    <w:p w14:paraId="749C84F8">
      <w:pPr>
        <w:spacing w:line="360" w:lineRule="auto"/>
        <w:ind w:firstLine="480"/>
        <w:jc w:val="center"/>
        <w:rPr>
          <w:rFonts w:ascii="仿宋_GB2312" w:hAnsi="宋体" w:eastAsia="仿宋_GB2312"/>
          <w:color w:val="000000" w:themeColor="text1"/>
          <w:szCs w:val="24"/>
          <w:u w:val="single"/>
          <w14:textFill>
            <w14:solidFill>
              <w14:schemeClr w14:val="tx1"/>
            </w14:solidFill>
          </w14:textFill>
        </w:rPr>
      </w:pPr>
      <w:r>
        <w:rPr>
          <w:rFonts w:hint="eastAsia" w:ascii="仿宋_GB2312" w:hAnsi="宋体" w:eastAsia="仿宋_GB2312"/>
          <w:color w:val="000000" w:themeColor="text1"/>
          <w:szCs w:val="24"/>
          <w14:textFill>
            <w14:solidFill>
              <w14:schemeClr w14:val="tx1"/>
            </w14:solidFill>
          </w14:textFill>
        </w:rPr>
        <w:t>响应单位(公章)：</w:t>
      </w:r>
      <w:r>
        <w:rPr>
          <w:rFonts w:hint="eastAsia" w:ascii="仿宋_GB2312" w:hAnsi="宋体" w:eastAsia="仿宋_GB2312"/>
          <w:color w:val="000000" w:themeColor="text1"/>
          <w:szCs w:val="24"/>
          <w:u w:val="single"/>
          <w14:textFill>
            <w14:solidFill>
              <w14:schemeClr w14:val="tx1"/>
            </w14:solidFill>
          </w14:textFill>
        </w:rPr>
        <w:t xml:space="preserve">                                     </w:t>
      </w:r>
    </w:p>
    <w:p w14:paraId="7C6AD955">
      <w:pPr>
        <w:spacing w:line="360" w:lineRule="auto"/>
        <w:ind w:firstLine="480"/>
        <w:jc w:val="center"/>
        <w:rPr>
          <w:rFonts w:ascii="仿宋_GB2312" w:hAnsi="宋体" w:eastAsia="仿宋_GB2312"/>
          <w:color w:val="000000" w:themeColor="text1"/>
          <w:szCs w:val="24"/>
          <w14:textFill>
            <w14:solidFill>
              <w14:schemeClr w14:val="tx1"/>
            </w14:solidFill>
          </w14:textFill>
        </w:rPr>
      </w:pPr>
    </w:p>
    <w:p w14:paraId="6AB1FF73">
      <w:pPr>
        <w:spacing w:line="360" w:lineRule="auto"/>
        <w:ind w:firstLine="3600" w:firstLineChars="1500"/>
        <w:rPr>
          <w:rFonts w:ascii="仿宋_GB2312" w:hAnsi="宋体" w:eastAsia="仿宋_GB2312"/>
          <w:color w:val="000000" w:themeColor="text1"/>
          <w:szCs w:val="24"/>
          <w:u w:val="single"/>
          <w14:textFill>
            <w14:solidFill>
              <w14:schemeClr w14:val="tx1"/>
            </w14:solidFill>
          </w14:textFill>
        </w:rPr>
      </w:pPr>
      <w:r>
        <w:rPr>
          <w:rFonts w:hint="eastAsia" w:ascii="仿宋_GB2312" w:hAnsi="宋体" w:eastAsia="仿宋_GB2312"/>
          <w:color w:val="000000" w:themeColor="text1"/>
          <w:szCs w:val="24"/>
          <w14:textFill>
            <w14:solidFill>
              <w14:schemeClr w14:val="tx1"/>
            </w14:solidFill>
          </w14:textFill>
        </w:rPr>
        <w:t>日        期：</w:t>
      </w:r>
      <w:r>
        <w:rPr>
          <w:rFonts w:hint="eastAsia" w:ascii="仿宋_GB2312" w:hAnsi="宋体" w:eastAsia="仿宋_GB2312"/>
          <w:color w:val="000000" w:themeColor="text1"/>
          <w:szCs w:val="24"/>
          <w:u w:val="single"/>
          <w14:textFill>
            <w14:solidFill>
              <w14:schemeClr w14:val="tx1"/>
            </w14:solidFill>
          </w14:textFill>
        </w:rPr>
        <w:t xml:space="preserve">                           </w:t>
      </w:r>
    </w:p>
    <w:p w14:paraId="70E9EEC7">
      <w:pPr>
        <w:spacing w:line="360" w:lineRule="auto"/>
        <w:ind w:firstLine="480"/>
        <w:rPr>
          <w:rFonts w:ascii="仿宋_GB2312" w:hAnsi="宋体" w:eastAsia="仿宋_GB2312"/>
          <w:color w:val="000000" w:themeColor="text1"/>
          <w:szCs w:val="24"/>
          <w:u w:val="single"/>
          <w14:textFill>
            <w14:solidFill>
              <w14:schemeClr w14:val="tx1"/>
            </w14:solidFill>
          </w14:textFill>
        </w:rPr>
      </w:pPr>
    </w:p>
    <w:p w14:paraId="5400457F">
      <w:pPr>
        <w:spacing w:line="360" w:lineRule="auto"/>
        <w:ind w:firstLine="480"/>
        <w:rPr>
          <w:rFonts w:ascii="仿宋_GB2312" w:hAnsi="宋体" w:eastAsia="仿宋_GB2312"/>
          <w:color w:val="000000" w:themeColor="text1"/>
          <w:szCs w:val="24"/>
          <w:u w:val="single"/>
          <w14:textFill>
            <w14:solidFill>
              <w14:schemeClr w14:val="tx1"/>
            </w14:solidFill>
          </w14:textFill>
        </w:rPr>
      </w:pPr>
    </w:p>
    <w:p w14:paraId="2A0D204C">
      <w:pPr>
        <w:spacing w:line="360" w:lineRule="auto"/>
        <w:ind w:firstLine="482"/>
        <w:rPr>
          <w:rFonts w:ascii="仿宋_GB2312" w:hAnsi="宋体" w:eastAsia="仿宋_GB2312" w:cs="Times New Roman"/>
          <w:b/>
          <w:szCs w:val="24"/>
        </w:rPr>
      </w:pPr>
      <w:r>
        <w:rPr>
          <w:rFonts w:hint="eastAsia" w:ascii="仿宋_GB2312" w:hAnsi="宋体" w:eastAsia="仿宋_GB2312" w:cs="Times New Roman"/>
          <w:b/>
          <w:szCs w:val="24"/>
        </w:rPr>
        <w:t>附：</w:t>
      </w:r>
      <w:r>
        <w:rPr>
          <w:rFonts w:hint="eastAsia" w:ascii="仿宋_GB2312" w:hAnsi="宋体" w:eastAsia="仿宋_GB2312" w:cs="Times New Roman"/>
          <w:b/>
          <w:bCs/>
          <w:kern w:val="0"/>
          <w:szCs w:val="24"/>
        </w:rPr>
        <w:t>法定代表人</w:t>
      </w:r>
      <w:r>
        <w:rPr>
          <w:rFonts w:hint="eastAsia" w:ascii="仿宋_GB2312" w:hAnsi="宋体" w:eastAsia="仿宋_GB2312" w:cs="Times New Roman"/>
          <w:b/>
          <w:szCs w:val="24"/>
        </w:rPr>
        <w:t>身份证复印件（正反面）。</w:t>
      </w:r>
    </w:p>
    <w:p w14:paraId="769F1FEE">
      <w:pPr>
        <w:spacing w:line="360" w:lineRule="auto"/>
        <w:ind w:firstLine="480"/>
        <w:rPr>
          <w:rFonts w:ascii="仿宋_GB2312" w:hAnsi="宋体" w:eastAsia="仿宋_GB2312" w:cs="Times New Roman"/>
          <w:szCs w:val="24"/>
        </w:rPr>
      </w:pPr>
    </w:p>
    <w:p w14:paraId="0BEA7F12">
      <w:pPr>
        <w:spacing w:line="360" w:lineRule="auto"/>
        <w:ind w:right="840" w:firstLine="480"/>
        <w:jc w:val="center"/>
        <w:rPr>
          <w:rFonts w:ascii="仿宋_GB2312" w:hAnsi="宋体" w:eastAsia="仿宋_GB2312" w:cs="Times New Roman"/>
          <w:szCs w:val="24"/>
        </w:rPr>
      </w:pPr>
      <w:r>
        <w:rPr>
          <w:rFonts w:hint="eastAsia" w:ascii="仿宋_GB2312" w:hAnsi="宋体" w:eastAsia="仿宋_GB2312" w:cs="Times New Roman"/>
          <w:szCs w:val="24"/>
        </w:rPr>
        <w:t xml:space="preserve">                                            </w:t>
      </w:r>
    </w:p>
    <w:p w14:paraId="24572CC8">
      <w:pPr>
        <w:widowControl/>
        <w:ind w:firstLine="480"/>
        <w:jc w:val="left"/>
        <w:rPr>
          <w:rFonts w:ascii="仿宋_GB2312" w:hAnsi="宋体" w:eastAsia="仿宋_GB2312" w:cs="Times New Roman"/>
          <w:kern w:val="0"/>
          <w:szCs w:val="24"/>
        </w:rPr>
      </w:pPr>
      <w:r>
        <w:rPr>
          <w:rFonts w:hint="eastAsia" w:ascii="仿宋_GB2312" w:hAnsi="宋体" w:eastAsia="仿宋_GB2312" w:cs="Times New Roman"/>
          <w:kern w:val="0"/>
          <w:szCs w:val="24"/>
        </w:rPr>
        <w:br w:type="page"/>
      </w:r>
    </w:p>
    <w:p w14:paraId="5FA5644A">
      <w:pPr>
        <w:widowControl/>
        <w:spacing w:line="360" w:lineRule="auto"/>
        <w:ind w:firstLine="480"/>
        <w:jc w:val="left"/>
        <w:rPr>
          <w:rFonts w:ascii="仿宋_GB2312" w:hAnsi="宋体" w:eastAsia="仿宋_GB2312" w:cs="Times New Roman"/>
          <w:kern w:val="0"/>
          <w:szCs w:val="24"/>
        </w:rPr>
      </w:pPr>
      <w:r>
        <w:rPr>
          <w:rFonts w:hint="eastAsia" w:ascii="仿宋_GB2312" w:hAnsi="宋体" w:eastAsia="仿宋_GB2312" w:cs="Times New Roman"/>
          <w:kern w:val="0"/>
          <w:szCs w:val="24"/>
        </w:rPr>
        <w:t>附件4：</w:t>
      </w:r>
    </w:p>
    <w:p w14:paraId="755D7689">
      <w:pPr>
        <w:widowControl/>
        <w:spacing w:line="360" w:lineRule="auto"/>
        <w:ind w:firstLine="643"/>
        <w:jc w:val="center"/>
        <w:rPr>
          <w:rFonts w:ascii="仿宋_GB2312" w:hAnsi="宋体" w:eastAsia="仿宋_GB2312"/>
          <w:b/>
          <w:bCs/>
          <w:sz w:val="32"/>
          <w:szCs w:val="32"/>
        </w:rPr>
      </w:pPr>
      <w:r>
        <w:rPr>
          <w:rFonts w:hint="eastAsia" w:ascii="仿宋_GB2312" w:hAnsi="宋体" w:eastAsia="仿宋_GB2312"/>
          <w:b/>
          <w:bCs/>
          <w:sz w:val="32"/>
          <w:szCs w:val="32"/>
        </w:rPr>
        <w:t>法定代表人授权委托书</w:t>
      </w:r>
    </w:p>
    <w:p w14:paraId="48675E15">
      <w:pPr>
        <w:spacing w:line="360" w:lineRule="auto"/>
        <w:ind w:firstLine="480"/>
        <w:jc w:val="center"/>
        <w:rPr>
          <w:rFonts w:ascii="仿宋_GB2312" w:hAnsi="宋体" w:eastAsia="仿宋_GB2312" w:cs="Times New Roman"/>
          <w:kern w:val="0"/>
          <w:szCs w:val="24"/>
        </w:rPr>
      </w:pPr>
      <w:r>
        <w:rPr>
          <w:rFonts w:hint="eastAsia" w:ascii="仿宋_GB2312" w:hAnsi="宋体" w:eastAsia="仿宋_GB2312" w:cs="Times New Roman"/>
          <w:kern w:val="0"/>
          <w:szCs w:val="24"/>
        </w:rPr>
        <w:t>（适用于有委托代理人的情况）</w:t>
      </w:r>
    </w:p>
    <w:p w14:paraId="1B95EDA0">
      <w:pPr>
        <w:spacing w:line="360" w:lineRule="auto"/>
        <w:ind w:firstLine="480"/>
        <w:rPr>
          <w:rFonts w:ascii="仿宋_GB2312" w:hAnsi="宋体" w:eastAsia="仿宋_GB2312" w:cs="Times New Roman"/>
          <w:szCs w:val="24"/>
        </w:rPr>
      </w:pPr>
    </w:p>
    <w:p w14:paraId="61F8EF15">
      <w:pPr>
        <w:spacing w:line="360" w:lineRule="auto"/>
        <w:ind w:firstLine="480"/>
        <w:rPr>
          <w:rFonts w:ascii="仿宋_GB2312" w:hAnsi="宋体" w:eastAsia="仿宋_GB2312" w:cs="Times New Roman"/>
          <w:szCs w:val="24"/>
        </w:rPr>
      </w:pPr>
      <w:r>
        <w:rPr>
          <w:rFonts w:hint="eastAsia" w:ascii="仿宋_GB2312" w:hAnsi="宋体" w:eastAsia="仿宋_GB2312" w:cs="Times New Roman"/>
          <w:szCs w:val="24"/>
        </w:rPr>
        <w:t>本人</w:t>
      </w:r>
      <w:r>
        <w:rPr>
          <w:rFonts w:hint="eastAsia" w:ascii="仿宋_GB2312" w:hAnsi="宋体" w:eastAsia="仿宋_GB2312" w:cs="Times New Roman"/>
          <w:szCs w:val="24"/>
          <w:u w:val="single"/>
        </w:rPr>
        <w:t xml:space="preserve">          （</w:t>
      </w:r>
      <w:r>
        <w:rPr>
          <w:rFonts w:hint="eastAsia" w:ascii="仿宋_GB2312" w:hAnsi="宋体" w:eastAsia="仿宋_GB2312" w:cs="Times New Roman"/>
          <w:b/>
          <w:bCs/>
          <w:kern w:val="0"/>
          <w:szCs w:val="24"/>
        </w:rPr>
        <w:t>法定代表人</w:t>
      </w:r>
      <w:r>
        <w:rPr>
          <w:rFonts w:hint="eastAsia" w:ascii="仿宋_GB2312" w:hAnsi="宋体" w:eastAsia="仿宋_GB2312" w:cs="Times New Roman"/>
          <w:szCs w:val="24"/>
          <w:u w:val="single"/>
        </w:rPr>
        <w:t>姓名）</w:t>
      </w:r>
      <w:r>
        <w:rPr>
          <w:rFonts w:hint="eastAsia" w:ascii="仿宋_GB2312" w:hAnsi="宋体" w:eastAsia="仿宋_GB2312" w:cs="Times New Roman"/>
          <w:szCs w:val="24"/>
        </w:rPr>
        <w:t>，身份证号码：</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，系</w:t>
      </w:r>
      <w:r>
        <w:rPr>
          <w:rFonts w:hint="eastAsia" w:ascii="仿宋_GB2312" w:hAnsi="宋体" w:eastAsia="仿宋_GB2312" w:cs="Times New Roman"/>
          <w:szCs w:val="24"/>
          <w:u w:val="single"/>
        </w:rPr>
        <w:t xml:space="preserve">         （供应商名称）</w:t>
      </w:r>
      <w:r>
        <w:rPr>
          <w:rFonts w:hint="eastAsia" w:ascii="仿宋_GB2312" w:hAnsi="宋体" w:eastAsia="仿宋_GB2312" w:cs="Times New Roman"/>
          <w:szCs w:val="24"/>
        </w:rPr>
        <w:t>的负责人，现授权委托</w:t>
      </w:r>
      <w:r>
        <w:rPr>
          <w:rFonts w:hint="eastAsia" w:ascii="仿宋_GB2312" w:hAnsi="宋体" w:eastAsia="仿宋_GB2312" w:cs="Times New Roman"/>
          <w:szCs w:val="24"/>
          <w:u w:val="single"/>
        </w:rPr>
        <w:t xml:space="preserve">        （姓名）</w:t>
      </w:r>
      <w:r>
        <w:rPr>
          <w:rFonts w:hint="eastAsia" w:ascii="仿宋_GB2312" w:hAnsi="宋体" w:eastAsia="仿宋_GB2312" w:cs="Times New Roman"/>
          <w:szCs w:val="24"/>
        </w:rPr>
        <w:t>身份证号码：</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为我方代理人。代理人根据授权，以我方名义签署、澄清确认、递交、撤回、修改</w:t>
      </w:r>
      <w:bookmarkStart w:id="15" w:name="_Hlk65521456"/>
      <w:r>
        <w:rPr>
          <w:rFonts w:hint="eastAsia" w:ascii="仿宋_GB2312" w:hAnsi="宋体" w:eastAsia="仿宋_GB2312" w:cs="Times New Roman"/>
          <w:b/>
          <w:bCs/>
          <w:szCs w:val="24"/>
          <w:u w:val="single"/>
        </w:rPr>
        <w:t xml:space="preserve"> </w:t>
      </w:r>
      <w:r>
        <w:rPr>
          <w:rFonts w:hint="eastAsia" w:ascii="仿宋_GB2312" w:hAnsi="宋体" w:eastAsia="仿宋_GB2312"/>
          <w:color w:val="000000" w:themeColor="text1"/>
          <w:szCs w:val="24"/>
          <w14:textFill>
            <w14:solidFill>
              <w14:schemeClr w14:val="tx1"/>
            </w14:solidFill>
          </w14:textFill>
        </w:rPr>
        <w:t>XXXX</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项目</w:t>
      </w:r>
      <w:bookmarkEnd w:id="15"/>
      <w:r>
        <w:rPr>
          <w:rFonts w:hint="eastAsia" w:ascii="仿宋_GB2312" w:hAnsi="宋体" w:eastAsia="仿宋_GB2312" w:cs="Times New Roman"/>
          <w:szCs w:val="24"/>
        </w:rPr>
        <w:t>的响应文件、签订合同和处理有关事宜，其法律后果由我方承担。</w:t>
      </w:r>
    </w:p>
    <w:p w14:paraId="5D2EB67D">
      <w:pPr>
        <w:spacing w:line="360" w:lineRule="auto"/>
        <w:ind w:firstLine="480"/>
        <w:rPr>
          <w:rFonts w:ascii="仿宋_GB2312" w:hAnsi="宋体" w:eastAsia="仿宋_GB2312" w:cs="Times New Roman"/>
          <w:szCs w:val="24"/>
        </w:rPr>
      </w:pPr>
      <w:r>
        <w:rPr>
          <w:rFonts w:hint="eastAsia" w:ascii="仿宋_GB2312" w:hAnsi="宋体" w:eastAsia="仿宋_GB2312" w:cs="Times New Roman"/>
          <w:szCs w:val="24"/>
        </w:rPr>
        <w:t>委托期限：自本委托书签署之日起至</w:t>
      </w:r>
      <w:r>
        <w:rPr>
          <w:rFonts w:hint="eastAsia" w:ascii="仿宋_GB2312" w:hAnsi="宋体" w:eastAsia="仿宋_GB2312"/>
          <w:color w:val="000000" w:themeColor="text1"/>
          <w:szCs w:val="24"/>
          <w:u w:val="single"/>
          <w:lang w:val="en-US" w:eastAsia="zh-CN"/>
          <w14:textFill>
            <w14:solidFill>
              <w14:schemeClr w14:val="tx1"/>
            </w14:solidFill>
          </w14:textFill>
        </w:rPr>
        <w:t>电梯维保</w:t>
      </w:r>
      <w:r>
        <w:rPr>
          <w:rFonts w:hint="eastAsia" w:ascii="仿宋_GB2312" w:hAnsi="宋体" w:eastAsia="仿宋_GB2312" w:cs="Times New Roman"/>
          <w:szCs w:val="24"/>
        </w:rPr>
        <w:t>项目签订采购合同之日止。</w:t>
      </w:r>
    </w:p>
    <w:p w14:paraId="69114F54">
      <w:pPr>
        <w:spacing w:line="360" w:lineRule="auto"/>
        <w:ind w:firstLine="480"/>
        <w:rPr>
          <w:rFonts w:ascii="仿宋_GB2312" w:hAnsi="宋体" w:eastAsia="仿宋_GB2312" w:cs="Times New Roman"/>
          <w:szCs w:val="24"/>
        </w:rPr>
      </w:pPr>
      <w:r>
        <w:rPr>
          <w:rFonts w:hint="eastAsia" w:ascii="仿宋_GB2312" w:hAnsi="宋体" w:eastAsia="仿宋_GB2312" w:cs="Times New Roman"/>
          <w:szCs w:val="24"/>
        </w:rPr>
        <w:t>代理人无转委托权。</w:t>
      </w:r>
    </w:p>
    <w:p w14:paraId="27CFB6E5">
      <w:pPr>
        <w:spacing w:line="360" w:lineRule="auto"/>
        <w:ind w:firstLine="480"/>
        <w:rPr>
          <w:rFonts w:ascii="仿宋_GB2312" w:hAnsi="宋体" w:eastAsia="仿宋_GB2312" w:cs="Times New Roman"/>
          <w:szCs w:val="24"/>
        </w:rPr>
      </w:pPr>
    </w:p>
    <w:p w14:paraId="0A1AA8E7">
      <w:pPr>
        <w:spacing w:line="360" w:lineRule="auto"/>
        <w:ind w:firstLine="480"/>
        <w:rPr>
          <w:rFonts w:ascii="仿宋_GB2312" w:hAnsi="宋体" w:eastAsia="仿宋_GB2312" w:cs="Times New Roman"/>
          <w:szCs w:val="24"/>
        </w:rPr>
      </w:pPr>
    </w:p>
    <w:p w14:paraId="092B23B0">
      <w:pPr>
        <w:spacing w:line="360" w:lineRule="auto"/>
        <w:ind w:firstLine="480"/>
        <w:rPr>
          <w:rFonts w:ascii="仿宋_GB2312" w:hAnsi="宋体" w:eastAsia="仿宋_GB2312" w:cs="Times New Roman"/>
          <w:szCs w:val="24"/>
        </w:rPr>
      </w:pPr>
      <w:r>
        <w:rPr>
          <w:rFonts w:hint="eastAsia" w:ascii="仿宋_GB2312" w:hAnsi="宋体" w:eastAsia="仿宋_GB2312" w:cs="Times New Roman"/>
          <w:szCs w:val="24"/>
        </w:rPr>
        <w:t xml:space="preserve">   </w:t>
      </w:r>
    </w:p>
    <w:p w14:paraId="522CE306">
      <w:pPr>
        <w:spacing w:line="360" w:lineRule="auto"/>
        <w:ind w:firstLine="480"/>
        <w:rPr>
          <w:rFonts w:ascii="仿宋_GB2312" w:hAnsi="宋体" w:eastAsia="仿宋_GB2312" w:cs="Times New Roman"/>
          <w:szCs w:val="24"/>
        </w:rPr>
      </w:pPr>
    </w:p>
    <w:p w14:paraId="643F5984">
      <w:pPr>
        <w:spacing w:line="360" w:lineRule="auto"/>
        <w:ind w:left="1985" w:leftChars="827" w:firstLine="960" w:firstLineChars="400"/>
        <w:jc w:val="left"/>
        <w:rPr>
          <w:rFonts w:ascii="仿宋_GB2312" w:hAnsi="宋体" w:eastAsia="仿宋_GB2312" w:cs="Times New Roman"/>
          <w:szCs w:val="24"/>
          <w:u w:val="single"/>
        </w:rPr>
      </w:pPr>
      <w:r>
        <w:rPr>
          <w:rFonts w:hint="eastAsia" w:ascii="仿宋_GB2312" w:hAnsi="宋体" w:eastAsia="仿宋_GB2312" w:cs="Times New Roman"/>
          <w:szCs w:val="24"/>
        </w:rPr>
        <w:t>供 应 商（公章）：</w:t>
      </w:r>
      <w:r>
        <w:rPr>
          <w:rFonts w:hint="eastAsia" w:ascii="仿宋_GB2312" w:hAnsi="宋体" w:eastAsia="仿宋_GB2312" w:cs="Times New Roman"/>
          <w:szCs w:val="24"/>
          <w:u w:val="single"/>
        </w:rPr>
        <w:t xml:space="preserve">                            </w:t>
      </w:r>
    </w:p>
    <w:p w14:paraId="667D247B">
      <w:pPr>
        <w:spacing w:line="360" w:lineRule="auto"/>
        <w:ind w:left="1985" w:leftChars="827" w:firstLine="960" w:firstLineChars="400"/>
        <w:jc w:val="left"/>
        <w:rPr>
          <w:rFonts w:ascii="仿宋_GB2312" w:hAnsi="宋体" w:eastAsia="仿宋_GB2312" w:cs="Times New Roman"/>
          <w:szCs w:val="24"/>
          <w:u w:val="single"/>
        </w:rPr>
      </w:pPr>
    </w:p>
    <w:p w14:paraId="7A192847">
      <w:pPr>
        <w:spacing w:line="360" w:lineRule="auto"/>
        <w:ind w:firstLine="2891" w:firstLineChars="1200"/>
        <w:jc w:val="left"/>
        <w:rPr>
          <w:rFonts w:ascii="仿宋_GB2312" w:hAnsi="宋体" w:eastAsia="仿宋_GB2312" w:cs="Times New Roman"/>
          <w:szCs w:val="24"/>
          <w:u w:val="single"/>
        </w:rPr>
      </w:pPr>
      <w:r>
        <w:rPr>
          <w:rFonts w:hint="eastAsia" w:ascii="仿宋_GB2312" w:hAnsi="宋体" w:eastAsia="仿宋_GB2312" w:cs="Times New Roman"/>
          <w:b/>
          <w:bCs/>
          <w:kern w:val="0"/>
          <w:szCs w:val="24"/>
        </w:rPr>
        <w:t>法定代表人</w:t>
      </w:r>
      <w:r>
        <w:rPr>
          <w:rFonts w:hint="eastAsia" w:ascii="仿宋_GB2312" w:hAnsi="宋体" w:eastAsia="仿宋_GB2312" w:cs="Times New Roman"/>
          <w:szCs w:val="24"/>
        </w:rPr>
        <w:t>（签名）：</w:t>
      </w:r>
      <w:r>
        <w:rPr>
          <w:rFonts w:hint="eastAsia" w:ascii="仿宋_GB2312" w:hAnsi="宋体" w:eastAsia="仿宋_GB2312" w:cs="Times New Roman"/>
          <w:szCs w:val="24"/>
          <w:u w:val="single"/>
        </w:rPr>
        <w:t xml:space="preserve">                            </w:t>
      </w:r>
    </w:p>
    <w:p w14:paraId="687834E0">
      <w:pPr>
        <w:spacing w:line="360" w:lineRule="auto"/>
        <w:ind w:firstLine="2880" w:firstLineChars="1200"/>
        <w:jc w:val="left"/>
        <w:rPr>
          <w:rFonts w:ascii="仿宋_GB2312" w:hAnsi="宋体" w:eastAsia="仿宋_GB2312" w:cs="Times New Roman"/>
          <w:szCs w:val="24"/>
        </w:rPr>
      </w:pPr>
    </w:p>
    <w:p w14:paraId="33365660">
      <w:pPr>
        <w:spacing w:line="360" w:lineRule="auto"/>
        <w:ind w:left="1985" w:leftChars="827" w:firstLine="480"/>
        <w:jc w:val="left"/>
        <w:rPr>
          <w:rFonts w:ascii="仿宋_GB2312" w:hAnsi="宋体" w:eastAsia="仿宋_GB2312" w:cs="Times New Roman"/>
          <w:szCs w:val="24"/>
        </w:rPr>
      </w:pPr>
      <w:r>
        <w:rPr>
          <w:rFonts w:hint="eastAsia" w:ascii="仿宋_GB2312" w:hAnsi="宋体" w:eastAsia="仿宋_GB2312" w:cs="Times New Roman"/>
          <w:szCs w:val="24"/>
        </w:rPr>
        <w:t xml:space="preserve">        日          期：</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w:t>
      </w:r>
    </w:p>
    <w:p w14:paraId="4EBAAC3B">
      <w:pPr>
        <w:spacing w:line="360" w:lineRule="auto"/>
        <w:ind w:firstLine="480"/>
        <w:jc w:val="left"/>
        <w:rPr>
          <w:rFonts w:ascii="仿宋_GB2312" w:hAnsi="宋体" w:eastAsia="仿宋_GB2312" w:cs="Times New Roman"/>
          <w:szCs w:val="24"/>
          <w:u w:val="single"/>
        </w:rPr>
      </w:pPr>
    </w:p>
    <w:p w14:paraId="0FC11575">
      <w:pPr>
        <w:spacing w:line="360" w:lineRule="auto"/>
        <w:ind w:firstLine="480"/>
        <w:jc w:val="left"/>
        <w:rPr>
          <w:rFonts w:ascii="仿宋_GB2312" w:hAnsi="宋体" w:eastAsia="仿宋_GB2312" w:cs="Times New Roman"/>
          <w:szCs w:val="24"/>
          <w:u w:val="single"/>
        </w:rPr>
      </w:pPr>
    </w:p>
    <w:p w14:paraId="67032CE4">
      <w:pPr>
        <w:spacing w:line="360" w:lineRule="auto"/>
        <w:ind w:firstLine="482"/>
        <w:rPr>
          <w:rFonts w:ascii="仿宋_GB2312" w:hAnsi="宋体" w:eastAsia="仿宋_GB2312" w:cs="Times New Roman"/>
          <w:b/>
          <w:szCs w:val="24"/>
        </w:rPr>
      </w:pPr>
      <w:r>
        <w:rPr>
          <w:rFonts w:hint="eastAsia" w:ascii="仿宋_GB2312" w:hAnsi="宋体" w:eastAsia="仿宋_GB2312" w:cs="Times New Roman"/>
          <w:b/>
          <w:szCs w:val="24"/>
        </w:rPr>
        <w:t>附：委托代理人身份证复印件（正反面）。</w:t>
      </w:r>
    </w:p>
    <w:p w14:paraId="14E97E37">
      <w:pPr>
        <w:spacing w:line="360" w:lineRule="auto"/>
        <w:ind w:firstLine="480"/>
        <w:jc w:val="left"/>
        <w:rPr>
          <w:rFonts w:ascii="仿宋_GB2312" w:hAnsi="宋体" w:eastAsia="仿宋_GB2312" w:cs="Times New Roman"/>
          <w:szCs w:val="24"/>
          <w:u w:val="single"/>
        </w:rPr>
      </w:pPr>
    </w:p>
    <w:p w14:paraId="239FD0CA">
      <w:pPr>
        <w:spacing w:line="360" w:lineRule="auto"/>
        <w:ind w:firstLine="480"/>
        <w:jc w:val="left"/>
        <w:rPr>
          <w:rFonts w:ascii="仿宋_GB2312" w:hAnsi="宋体" w:eastAsia="仿宋_GB2312" w:cs="Times New Roman"/>
          <w:szCs w:val="24"/>
          <w:u w:val="single"/>
        </w:rPr>
      </w:pPr>
    </w:p>
    <w:p w14:paraId="58404FF5">
      <w:pPr>
        <w:spacing w:line="360" w:lineRule="auto"/>
        <w:ind w:firstLine="480"/>
        <w:jc w:val="left"/>
        <w:rPr>
          <w:rFonts w:ascii="宋体" w:hAnsi="宋体" w:cs="Times New Roman"/>
          <w:szCs w:val="24"/>
          <w:u w:val="single"/>
        </w:rPr>
      </w:pPr>
    </w:p>
    <w:p w14:paraId="0CF19046">
      <w:pPr>
        <w:spacing w:line="360" w:lineRule="auto"/>
        <w:ind w:firstLine="480"/>
        <w:jc w:val="left"/>
        <w:rPr>
          <w:rFonts w:ascii="宋体" w:hAnsi="宋体" w:cs="Times New Roman"/>
          <w:szCs w:val="24"/>
          <w:u w:val="single"/>
        </w:rPr>
      </w:pPr>
    </w:p>
    <w:p w14:paraId="0EC3AFD1">
      <w:pPr>
        <w:spacing w:line="360" w:lineRule="auto"/>
        <w:ind w:firstLine="480"/>
        <w:jc w:val="left"/>
        <w:rPr>
          <w:rFonts w:ascii="宋体" w:hAnsi="宋体" w:cs="Times New Roman"/>
          <w:szCs w:val="24"/>
          <w:u w:val="single"/>
        </w:rPr>
      </w:pPr>
    </w:p>
    <w:p w14:paraId="1CCA96B3">
      <w:pPr>
        <w:spacing w:line="360" w:lineRule="auto"/>
        <w:ind w:firstLine="480"/>
        <w:jc w:val="left"/>
        <w:rPr>
          <w:rFonts w:ascii="宋体" w:hAnsi="宋体" w:cs="Times New Roman"/>
          <w:szCs w:val="24"/>
          <w:u w:val="single"/>
        </w:rPr>
      </w:pPr>
    </w:p>
    <w:p w14:paraId="5E349629">
      <w:pPr>
        <w:ind w:firstLine="480"/>
        <w:rPr>
          <w:color w:val="000000" w:themeColor="text1"/>
          <w14:textFill>
            <w14:solidFill>
              <w14:schemeClr w14:val="tx1"/>
            </w14:solidFill>
          </w14:textFill>
        </w:rPr>
      </w:pPr>
    </w:p>
    <w:p w14:paraId="77AD46A4">
      <w:pPr>
        <w:widowControl/>
        <w:spacing w:line="360" w:lineRule="auto"/>
        <w:ind w:firstLine="0" w:firstLineChars="0"/>
        <w:jc w:val="left"/>
        <w:rPr>
          <w:rFonts w:ascii="仿宋_GB2312" w:hAnsi="宋体" w:eastAsia="仿宋_GB2312" w:cs="Times New Roman"/>
          <w:kern w:val="0"/>
          <w:szCs w:val="24"/>
        </w:rPr>
      </w:pPr>
      <w:r>
        <w:rPr>
          <w:rFonts w:hint="eastAsia" w:ascii="仿宋_GB2312" w:hAnsi="宋体" w:eastAsia="仿宋_GB2312" w:cs="Times New Roman"/>
          <w:kern w:val="0"/>
          <w:szCs w:val="24"/>
        </w:rPr>
        <w:t>附件5：</w:t>
      </w:r>
    </w:p>
    <w:p w14:paraId="7422C298">
      <w:pPr>
        <w:widowControl/>
        <w:spacing w:line="360" w:lineRule="auto"/>
        <w:ind w:firstLine="643"/>
        <w:jc w:val="center"/>
        <w:rPr>
          <w:rFonts w:ascii="仿宋_GB2312" w:hAnsi="宋体" w:eastAsia="仿宋_GB2312"/>
          <w:b/>
          <w:bCs/>
          <w:sz w:val="32"/>
          <w:szCs w:val="32"/>
        </w:rPr>
      </w:pPr>
      <w:r>
        <w:rPr>
          <w:rFonts w:hint="eastAsia" w:ascii="仿宋_GB2312" w:hAnsi="宋体" w:eastAsia="仿宋_GB2312"/>
          <w:b/>
          <w:bCs/>
          <w:sz w:val="32"/>
          <w:szCs w:val="32"/>
        </w:rPr>
        <w:t>报价单</w:t>
      </w:r>
    </w:p>
    <w:tbl>
      <w:tblPr>
        <w:tblStyle w:val="9"/>
        <w:tblpPr w:leftFromText="180" w:rightFromText="180" w:vertAnchor="text" w:horzAnchor="page" w:tblpX="1547" w:tblpY="186"/>
        <w:tblOverlap w:val="never"/>
        <w:tblW w:w="9173" w:type="dxa"/>
        <w:tblInd w:w="0" w:type="dxa"/>
        <w:tblLayout w:type="fixed"/>
        <w:tblCellMar>
          <w:top w:w="0" w:type="dxa"/>
          <w:left w:w="108" w:type="dxa"/>
          <w:bottom w:w="0" w:type="dxa"/>
          <w:right w:w="108" w:type="dxa"/>
        </w:tblCellMar>
      </w:tblPr>
      <w:tblGrid>
        <w:gridCol w:w="1276"/>
        <w:gridCol w:w="1847"/>
        <w:gridCol w:w="1134"/>
        <w:gridCol w:w="1130"/>
        <w:gridCol w:w="1276"/>
        <w:gridCol w:w="1134"/>
        <w:gridCol w:w="1376"/>
      </w:tblGrid>
      <w:tr w14:paraId="232D4AA5">
        <w:tblPrEx>
          <w:tblCellMar>
            <w:top w:w="0" w:type="dxa"/>
            <w:left w:w="108" w:type="dxa"/>
            <w:bottom w:w="0" w:type="dxa"/>
            <w:right w:w="108" w:type="dxa"/>
          </w:tblCellMar>
        </w:tblPrEx>
        <w:trPr>
          <w:trHeight w:val="1016" w:hRule="atLeast"/>
        </w:trPr>
        <w:tc>
          <w:tcPr>
            <w:tcW w:w="1276" w:type="dxa"/>
            <w:tcBorders>
              <w:top w:val="single" w:color="auto" w:sz="4" w:space="0"/>
              <w:left w:val="single" w:color="auto" w:sz="4" w:space="0"/>
              <w:bottom w:val="single" w:color="auto" w:sz="4" w:space="0"/>
              <w:right w:val="single" w:color="auto" w:sz="4" w:space="0"/>
            </w:tcBorders>
            <w:vAlign w:val="center"/>
          </w:tcPr>
          <w:p w14:paraId="7E9F4894">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产品名称</w:t>
            </w:r>
          </w:p>
        </w:tc>
        <w:tc>
          <w:tcPr>
            <w:tcW w:w="1847" w:type="dxa"/>
            <w:tcBorders>
              <w:top w:val="single" w:color="auto" w:sz="4" w:space="0"/>
              <w:left w:val="nil"/>
              <w:bottom w:val="single" w:color="auto" w:sz="4" w:space="0"/>
              <w:right w:val="single" w:color="auto" w:sz="4" w:space="0"/>
            </w:tcBorders>
            <w:vAlign w:val="center"/>
          </w:tcPr>
          <w:p w14:paraId="1A23B78D">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型号</w:t>
            </w:r>
          </w:p>
        </w:tc>
        <w:tc>
          <w:tcPr>
            <w:tcW w:w="1134" w:type="dxa"/>
            <w:tcBorders>
              <w:top w:val="single" w:color="auto" w:sz="4" w:space="0"/>
              <w:left w:val="nil"/>
              <w:bottom w:val="single" w:color="auto" w:sz="4" w:space="0"/>
              <w:right w:val="single" w:color="auto" w:sz="4" w:space="0"/>
            </w:tcBorders>
            <w:vAlign w:val="center"/>
          </w:tcPr>
          <w:p w14:paraId="1816DDDA">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层/站/门</w:t>
            </w:r>
          </w:p>
          <w:p w14:paraId="6A2DA52F">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提升高度</w:t>
            </w:r>
          </w:p>
        </w:tc>
        <w:tc>
          <w:tcPr>
            <w:tcW w:w="1130" w:type="dxa"/>
            <w:tcBorders>
              <w:top w:val="single" w:color="auto" w:sz="4" w:space="0"/>
              <w:left w:val="nil"/>
              <w:bottom w:val="single" w:color="auto" w:sz="4" w:space="0"/>
              <w:right w:val="single" w:color="auto" w:sz="4" w:space="0"/>
            </w:tcBorders>
            <w:vAlign w:val="center"/>
          </w:tcPr>
          <w:p w14:paraId="35082F48">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载重量</w:t>
            </w:r>
          </w:p>
          <w:p w14:paraId="032954B0">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梯级宽度</w:t>
            </w:r>
          </w:p>
        </w:tc>
        <w:tc>
          <w:tcPr>
            <w:tcW w:w="1276" w:type="dxa"/>
            <w:tcBorders>
              <w:top w:val="single" w:color="auto" w:sz="4" w:space="0"/>
              <w:left w:val="nil"/>
              <w:bottom w:val="single" w:color="auto" w:sz="4" w:space="0"/>
              <w:right w:val="single" w:color="auto" w:sz="4" w:space="0"/>
            </w:tcBorders>
            <w:vAlign w:val="center"/>
          </w:tcPr>
          <w:p w14:paraId="3264484D">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速度</w:t>
            </w:r>
          </w:p>
          <w:p w14:paraId="68FFEF6B">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室内/室外</w:t>
            </w:r>
          </w:p>
        </w:tc>
        <w:tc>
          <w:tcPr>
            <w:tcW w:w="1134" w:type="dxa"/>
            <w:tcBorders>
              <w:top w:val="single" w:color="auto" w:sz="4" w:space="0"/>
              <w:left w:val="nil"/>
              <w:bottom w:val="single" w:color="auto" w:sz="4" w:space="0"/>
              <w:right w:val="single" w:color="auto" w:sz="4" w:space="0"/>
            </w:tcBorders>
            <w:vAlign w:val="center"/>
          </w:tcPr>
          <w:p w14:paraId="04D9A5FF">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维保台数</w:t>
            </w:r>
          </w:p>
          <w:p w14:paraId="680E36EE">
            <w:pPr>
              <w:widowControl/>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（台）</w:t>
            </w:r>
          </w:p>
        </w:tc>
        <w:tc>
          <w:tcPr>
            <w:tcW w:w="1376" w:type="dxa"/>
            <w:tcBorders>
              <w:top w:val="single" w:color="auto" w:sz="4" w:space="0"/>
              <w:left w:val="nil"/>
              <w:bottom w:val="single" w:color="auto" w:sz="4" w:space="0"/>
              <w:right w:val="single" w:color="auto" w:sz="4" w:space="0"/>
            </w:tcBorders>
            <w:vAlign w:val="center"/>
          </w:tcPr>
          <w:p w14:paraId="6CAE4E06">
            <w:pPr>
              <w:widowControl/>
              <w:spacing w:line="240" w:lineRule="auto"/>
              <w:ind w:firstLine="0" w:firstLineChars="0"/>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维保费用</w:t>
            </w:r>
          </w:p>
        </w:tc>
      </w:tr>
      <w:tr w14:paraId="0357392E">
        <w:tblPrEx>
          <w:tblCellMar>
            <w:top w:w="0" w:type="dxa"/>
            <w:left w:w="108" w:type="dxa"/>
            <w:bottom w:w="0" w:type="dxa"/>
            <w:right w:w="108" w:type="dxa"/>
          </w:tblCellMar>
        </w:tblPrEx>
        <w:trPr>
          <w:trHeight w:val="750" w:hRule="atLeast"/>
        </w:trPr>
        <w:tc>
          <w:tcPr>
            <w:tcW w:w="1276" w:type="dxa"/>
            <w:tcBorders>
              <w:top w:val="nil"/>
              <w:left w:val="single" w:color="auto" w:sz="4" w:space="0"/>
              <w:bottom w:val="single" w:color="auto" w:sz="4" w:space="0"/>
              <w:right w:val="single" w:color="auto" w:sz="4" w:space="0"/>
            </w:tcBorders>
            <w:noWrap/>
            <w:vAlign w:val="center"/>
          </w:tcPr>
          <w:p w14:paraId="3E0ED1D9">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自动扶梯</w:t>
            </w:r>
          </w:p>
        </w:tc>
        <w:tc>
          <w:tcPr>
            <w:tcW w:w="1847" w:type="dxa"/>
            <w:tcBorders>
              <w:top w:val="nil"/>
              <w:left w:val="nil"/>
              <w:bottom w:val="single" w:color="auto" w:sz="4" w:space="0"/>
              <w:right w:val="single" w:color="auto" w:sz="4" w:space="0"/>
            </w:tcBorders>
            <w:noWrap/>
            <w:vAlign w:val="center"/>
          </w:tcPr>
          <w:p w14:paraId="3F2FDAD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Schindler 9300</w:t>
            </w:r>
          </w:p>
        </w:tc>
        <w:tc>
          <w:tcPr>
            <w:tcW w:w="1134" w:type="dxa"/>
            <w:tcBorders>
              <w:top w:val="nil"/>
              <w:left w:val="nil"/>
              <w:bottom w:val="single" w:color="auto" w:sz="4" w:space="0"/>
              <w:right w:val="single" w:color="auto" w:sz="4" w:space="0"/>
            </w:tcBorders>
            <w:noWrap/>
            <w:vAlign w:val="center"/>
          </w:tcPr>
          <w:p w14:paraId="7C048B4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6米</w:t>
            </w:r>
          </w:p>
        </w:tc>
        <w:tc>
          <w:tcPr>
            <w:tcW w:w="1130" w:type="dxa"/>
            <w:tcBorders>
              <w:top w:val="nil"/>
              <w:left w:val="nil"/>
              <w:bottom w:val="single" w:color="auto" w:sz="4" w:space="0"/>
              <w:right w:val="single" w:color="auto" w:sz="4" w:space="0"/>
            </w:tcBorders>
            <w:noWrap/>
            <w:vAlign w:val="center"/>
          </w:tcPr>
          <w:p w14:paraId="1296697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800</w:t>
            </w:r>
          </w:p>
        </w:tc>
        <w:tc>
          <w:tcPr>
            <w:tcW w:w="1276" w:type="dxa"/>
            <w:tcBorders>
              <w:top w:val="nil"/>
              <w:left w:val="nil"/>
              <w:bottom w:val="single" w:color="auto" w:sz="4" w:space="0"/>
              <w:right w:val="single" w:color="auto" w:sz="4" w:space="0"/>
            </w:tcBorders>
            <w:noWrap/>
            <w:vAlign w:val="center"/>
          </w:tcPr>
          <w:p w14:paraId="07FAA8A6">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室内</w:t>
            </w:r>
          </w:p>
        </w:tc>
        <w:tc>
          <w:tcPr>
            <w:tcW w:w="1134" w:type="dxa"/>
            <w:tcBorders>
              <w:top w:val="nil"/>
              <w:left w:val="nil"/>
              <w:bottom w:val="single" w:color="auto" w:sz="4" w:space="0"/>
              <w:right w:val="single" w:color="auto" w:sz="4" w:space="0"/>
            </w:tcBorders>
            <w:noWrap/>
            <w:vAlign w:val="center"/>
          </w:tcPr>
          <w:p w14:paraId="00AACF5B">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w:t>
            </w:r>
          </w:p>
        </w:tc>
        <w:tc>
          <w:tcPr>
            <w:tcW w:w="1376" w:type="dxa"/>
            <w:tcBorders>
              <w:top w:val="nil"/>
              <w:left w:val="nil"/>
              <w:bottom w:val="single" w:color="auto" w:sz="4" w:space="0"/>
              <w:right w:val="single" w:color="auto" w:sz="4" w:space="0"/>
            </w:tcBorders>
            <w:noWrap/>
            <w:vAlign w:val="center"/>
          </w:tcPr>
          <w:p w14:paraId="47359E65">
            <w:pPr>
              <w:widowControl/>
              <w:spacing w:line="240" w:lineRule="auto"/>
              <w:ind w:firstLine="0" w:firstLineChars="0"/>
              <w:jc w:val="center"/>
              <w:rPr>
                <w:rFonts w:hint="eastAsia" w:ascii="宋体" w:hAnsi="宋体" w:cs="宋体"/>
                <w:color w:val="000000"/>
                <w:kern w:val="0"/>
                <w:sz w:val="21"/>
                <w:szCs w:val="21"/>
              </w:rPr>
            </w:pPr>
          </w:p>
        </w:tc>
      </w:tr>
      <w:tr w14:paraId="694B5ABE">
        <w:tblPrEx>
          <w:tblCellMar>
            <w:top w:w="0" w:type="dxa"/>
            <w:left w:w="108" w:type="dxa"/>
            <w:bottom w:w="0" w:type="dxa"/>
            <w:right w:w="108" w:type="dxa"/>
          </w:tblCellMar>
        </w:tblPrEx>
        <w:trPr>
          <w:trHeight w:val="750" w:hRule="atLeast"/>
        </w:trPr>
        <w:tc>
          <w:tcPr>
            <w:tcW w:w="1276" w:type="dxa"/>
            <w:tcBorders>
              <w:top w:val="nil"/>
              <w:left w:val="single" w:color="auto" w:sz="4" w:space="0"/>
              <w:bottom w:val="single" w:color="auto" w:sz="4" w:space="0"/>
              <w:right w:val="single" w:color="auto" w:sz="4" w:space="0"/>
            </w:tcBorders>
            <w:noWrap/>
            <w:vAlign w:val="center"/>
          </w:tcPr>
          <w:p w14:paraId="184C8BB4">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自动扶梯</w:t>
            </w:r>
          </w:p>
        </w:tc>
        <w:tc>
          <w:tcPr>
            <w:tcW w:w="1847" w:type="dxa"/>
            <w:tcBorders>
              <w:top w:val="nil"/>
              <w:left w:val="nil"/>
              <w:bottom w:val="single" w:color="auto" w:sz="4" w:space="0"/>
              <w:right w:val="single" w:color="auto" w:sz="4" w:space="0"/>
            </w:tcBorders>
            <w:noWrap/>
            <w:vAlign w:val="center"/>
          </w:tcPr>
          <w:p w14:paraId="505E0CD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Schindler 9300</w:t>
            </w:r>
          </w:p>
        </w:tc>
        <w:tc>
          <w:tcPr>
            <w:tcW w:w="1134" w:type="dxa"/>
            <w:tcBorders>
              <w:top w:val="nil"/>
              <w:left w:val="nil"/>
              <w:bottom w:val="single" w:color="auto" w:sz="4" w:space="0"/>
              <w:right w:val="single" w:color="auto" w:sz="4" w:space="0"/>
            </w:tcBorders>
            <w:noWrap/>
            <w:vAlign w:val="center"/>
          </w:tcPr>
          <w:p w14:paraId="19BBAB0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5.2米</w:t>
            </w:r>
          </w:p>
        </w:tc>
        <w:tc>
          <w:tcPr>
            <w:tcW w:w="1130" w:type="dxa"/>
            <w:tcBorders>
              <w:top w:val="nil"/>
              <w:left w:val="nil"/>
              <w:bottom w:val="single" w:color="auto" w:sz="4" w:space="0"/>
              <w:right w:val="single" w:color="auto" w:sz="4" w:space="0"/>
            </w:tcBorders>
            <w:noWrap/>
            <w:vAlign w:val="center"/>
          </w:tcPr>
          <w:p w14:paraId="55AF314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800</w:t>
            </w:r>
          </w:p>
        </w:tc>
        <w:tc>
          <w:tcPr>
            <w:tcW w:w="1276" w:type="dxa"/>
            <w:tcBorders>
              <w:top w:val="nil"/>
              <w:left w:val="nil"/>
              <w:bottom w:val="single" w:color="auto" w:sz="4" w:space="0"/>
              <w:right w:val="single" w:color="auto" w:sz="4" w:space="0"/>
            </w:tcBorders>
            <w:noWrap/>
            <w:vAlign w:val="center"/>
          </w:tcPr>
          <w:p w14:paraId="3BA1FF0E">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室内</w:t>
            </w:r>
          </w:p>
        </w:tc>
        <w:tc>
          <w:tcPr>
            <w:tcW w:w="1134" w:type="dxa"/>
            <w:tcBorders>
              <w:top w:val="nil"/>
              <w:left w:val="nil"/>
              <w:bottom w:val="single" w:color="auto" w:sz="4" w:space="0"/>
              <w:right w:val="single" w:color="auto" w:sz="4" w:space="0"/>
            </w:tcBorders>
            <w:noWrap/>
            <w:vAlign w:val="center"/>
          </w:tcPr>
          <w:p w14:paraId="3A422EAB">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w:t>
            </w:r>
          </w:p>
        </w:tc>
        <w:tc>
          <w:tcPr>
            <w:tcW w:w="1376" w:type="dxa"/>
            <w:tcBorders>
              <w:top w:val="nil"/>
              <w:left w:val="nil"/>
              <w:bottom w:val="single" w:color="auto" w:sz="4" w:space="0"/>
              <w:right w:val="single" w:color="auto" w:sz="4" w:space="0"/>
            </w:tcBorders>
            <w:noWrap/>
            <w:vAlign w:val="center"/>
          </w:tcPr>
          <w:p w14:paraId="55DEDB89">
            <w:pPr>
              <w:widowControl/>
              <w:spacing w:line="240" w:lineRule="auto"/>
              <w:ind w:firstLine="0" w:firstLineChars="0"/>
              <w:jc w:val="center"/>
              <w:rPr>
                <w:rFonts w:hint="eastAsia" w:ascii="宋体" w:hAnsi="宋体" w:cs="宋体"/>
                <w:color w:val="000000"/>
                <w:kern w:val="0"/>
                <w:sz w:val="21"/>
                <w:szCs w:val="21"/>
              </w:rPr>
            </w:pPr>
          </w:p>
        </w:tc>
      </w:tr>
      <w:tr w14:paraId="780B8AD1">
        <w:tblPrEx>
          <w:tblCellMar>
            <w:top w:w="0" w:type="dxa"/>
            <w:left w:w="108" w:type="dxa"/>
            <w:bottom w:w="0" w:type="dxa"/>
            <w:right w:w="108" w:type="dxa"/>
          </w:tblCellMar>
        </w:tblPrEx>
        <w:trPr>
          <w:trHeight w:val="750" w:hRule="atLeast"/>
        </w:trPr>
        <w:tc>
          <w:tcPr>
            <w:tcW w:w="1276" w:type="dxa"/>
            <w:tcBorders>
              <w:top w:val="nil"/>
              <w:left w:val="single" w:color="auto" w:sz="4" w:space="0"/>
              <w:bottom w:val="single" w:color="auto" w:sz="4" w:space="0"/>
              <w:right w:val="single" w:color="auto" w:sz="4" w:space="0"/>
            </w:tcBorders>
            <w:noWrap/>
            <w:vAlign w:val="center"/>
          </w:tcPr>
          <w:p w14:paraId="55B5C01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无机房客梯</w:t>
            </w:r>
          </w:p>
        </w:tc>
        <w:tc>
          <w:tcPr>
            <w:tcW w:w="1847" w:type="dxa"/>
            <w:tcBorders>
              <w:top w:val="nil"/>
              <w:left w:val="nil"/>
              <w:bottom w:val="single" w:color="auto" w:sz="4" w:space="0"/>
              <w:right w:val="single" w:color="auto" w:sz="4" w:space="0"/>
            </w:tcBorders>
            <w:noWrap/>
            <w:vAlign w:val="center"/>
          </w:tcPr>
          <w:p w14:paraId="157CF70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Schindler 5500</w:t>
            </w:r>
          </w:p>
        </w:tc>
        <w:tc>
          <w:tcPr>
            <w:tcW w:w="1134" w:type="dxa"/>
            <w:tcBorders>
              <w:top w:val="nil"/>
              <w:left w:val="nil"/>
              <w:bottom w:val="single" w:color="auto" w:sz="4" w:space="0"/>
              <w:right w:val="single" w:color="auto" w:sz="4" w:space="0"/>
            </w:tcBorders>
            <w:noWrap/>
            <w:vAlign w:val="center"/>
          </w:tcPr>
          <w:p w14:paraId="7295672E">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8/8/8</w:t>
            </w:r>
          </w:p>
        </w:tc>
        <w:tc>
          <w:tcPr>
            <w:tcW w:w="1130" w:type="dxa"/>
            <w:tcBorders>
              <w:top w:val="nil"/>
              <w:left w:val="nil"/>
              <w:bottom w:val="single" w:color="auto" w:sz="4" w:space="0"/>
              <w:right w:val="single" w:color="auto" w:sz="4" w:space="0"/>
            </w:tcBorders>
            <w:noWrap/>
            <w:vAlign w:val="center"/>
          </w:tcPr>
          <w:p w14:paraId="6201DC2D">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1600kg</w:t>
            </w:r>
          </w:p>
        </w:tc>
        <w:tc>
          <w:tcPr>
            <w:tcW w:w="1276" w:type="dxa"/>
            <w:tcBorders>
              <w:top w:val="nil"/>
              <w:left w:val="nil"/>
              <w:bottom w:val="single" w:color="auto" w:sz="4" w:space="0"/>
              <w:right w:val="single" w:color="auto" w:sz="4" w:space="0"/>
            </w:tcBorders>
            <w:noWrap/>
            <w:vAlign w:val="center"/>
          </w:tcPr>
          <w:p w14:paraId="7212514B">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1.75</w:t>
            </w:r>
          </w:p>
        </w:tc>
        <w:tc>
          <w:tcPr>
            <w:tcW w:w="1134" w:type="dxa"/>
            <w:tcBorders>
              <w:top w:val="nil"/>
              <w:left w:val="nil"/>
              <w:bottom w:val="single" w:color="auto" w:sz="4" w:space="0"/>
              <w:right w:val="single" w:color="auto" w:sz="4" w:space="0"/>
            </w:tcBorders>
            <w:noWrap/>
            <w:vAlign w:val="center"/>
          </w:tcPr>
          <w:p w14:paraId="0E92F65B">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376" w:type="dxa"/>
            <w:tcBorders>
              <w:top w:val="nil"/>
              <w:left w:val="nil"/>
              <w:bottom w:val="single" w:color="auto" w:sz="4" w:space="0"/>
              <w:right w:val="single" w:color="auto" w:sz="4" w:space="0"/>
            </w:tcBorders>
            <w:noWrap/>
            <w:vAlign w:val="center"/>
          </w:tcPr>
          <w:p w14:paraId="752D6BC7">
            <w:pPr>
              <w:widowControl/>
              <w:spacing w:line="240" w:lineRule="auto"/>
              <w:ind w:firstLine="0" w:firstLineChars="0"/>
              <w:jc w:val="center"/>
              <w:rPr>
                <w:rFonts w:hint="eastAsia" w:ascii="宋体" w:hAnsi="宋体" w:cs="宋体"/>
                <w:color w:val="000000"/>
                <w:kern w:val="0"/>
                <w:sz w:val="21"/>
                <w:szCs w:val="21"/>
              </w:rPr>
            </w:pPr>
          </w:p>
        </w:tc>
      </w:tr>
      <w:tr w14:paraId="3AE97D6C">
        <w:tblPrEx>
          <w:tblCellMar>
            <w:top w:w="0" w:type="dxa"/>
            <w:left w:w="108" w:type="dxa"/>
            <w:bottom w:w="0" w:type="dxa"/>
            <w:right w:w="108" w:type="dxa"/>
          </w:tblCellMar>
        </w:tblPrEx>
        <w:trPr>
          <w:trHeight w:val="1080" w:hRule="atLeast"/>
        </w:trPr>
        <w:tc>
          <w:tcPr>
            <w:tcW w:w="1276" w:type="dxa"/>
            <w:tcBorders>
              <w:top w:val="nil"/>
              <w:left w:val="single" w:color="auto" w:sz="4" w:space="0"/>
              <w:bottom w:val="single" w:color="auto" w:sz="4" w:space="0"/>
              <w:right w:val="single" w:color="auto" w:sz="4" w:space="0"/>
            </w:tcBorders>
            <w:noWrap/>
            <w:vAlign w:val="center"/>
          </w:tcPr>
          <w:p w14:paraId="6F69694E">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无机房客梯兼消防</w:t>
            </w:r>
          </w:p>
        </w:tc>
        <w:tc>
          <w:tcPr>
            <w:tcW w:w="1847" w:type="dxa"/>
            <w:tcBorders>
              <w:top w:val="nil"/>
              <w:left w:val="nil"/>
              <w:bottom w:val="single" w:color="auto" w:sz="4" w:space="0"/>
              <w:right w:val="single" w:color="auto" w:sz="4" w:space="0"/>
            </w:tcBorders>
            <w:noWrap/>
            <w:vAlign w:val="center"/>
          </w:tcPr>
          <w:p w14:paraId="1F04337A">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Schindler 5500</w:t>
            </w:r>
          </w:p>
        </w:tc>
        <w:tc>
          <w:tcPr>
            <w:tcW w:w="1134" w:type="dxa"/>
            <w:tcBorders>
              <w:top w:val="nil"/>
              <w:left w:val="nil"/>
              <w:bottom w:val="single" w:color="auto" w:sz="4" w:space="0"/>
              <w:right w:val="single" w:color="auto" w:sz="4" w:space="0"/>
            </w:tcBorders>
            <w:noWrap/>
            <w:vAlign w:val="center"/>
          </w:tcPr>
          <w:p w14:paraId="334D364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8/8/8</w:t>
            </w:r>
          </w:p>
        </w:tc>
        <w:tc>
          <w:tcPr>
            <w:tcW w:w="1130" w:type="dxa"/>
            <w:tcBorders>
              <w:top w:val="nil"/>
              <w:left w:val="nil"/>
              <w:bottom w:val="single" w:color="auto" w:sz="4" w:space="0"/>
              <w:right w:val="single" w:color="auto" w:sz="4" w:space="0"/>
            </w:tcBorders>
            <w:vAlign w:val="center"/>
          </w:tcPr>
          <w:p w14:paraId="5322FDFD">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1600kg</w:t>
            </w:r>
          </w:p>
        </w:tc>
        <w:tc>
          <w:tcPr>
            <w:tcW w:w="1276" w:type="dxa"/>
            <w:tcBorders>
              <w:top w:val="nil"/>
              <w:left w:val="nil"/>
              <w:bottom w:val="single" w:color="auto" w:sz="4" w:space="0"/>
              <w:right w:val="single" w:color="auto" w:sz="4" w:space="0"/>
            </w:tcBorders>
            <w:noWrap/>
            <w:vAlign w:val="center"/>
          </w:tcPr>
          <w:p w14:paraId="021253FE">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1.75</w:t>
            </w:r>
          </w:p>
        </w:tc>
        <w:tc>
          <w:tcPr>
            <w:tcW w:w="1134" w:type="dxa"/>
            <w:tcBorders>
              <w:top w:val="nil"/>
              <w:left w:val="nil"/>
              <w:bottom w:val="single" w:color="auto" w:sz="4" w:space="0"/>
              <w:right w:val="single" w:color="auto" w:sz="4" w:space="0"/>
            </w:tcBorders>
            <w:noWrap/>
            <w:vAlign w:val="center"/>
          </w:tcPr>
          <w:p w14:paraId="1D62D1A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376" w:type="dxa"/>
            <w:tcBorders>
              <w:top w:val="nil"/>
              <w:left w:val="nil"/>
              <w:bottom w:val="single" w:color="auto" w:sz="4" w:space="0"/>
              <w:right w:val="single" w:color="auto" w:sz="4" w:space="0"/>
            </w:tcBorders>
            <w:noWrap/>
            <w:vAlign w:val="center"/>
          </w:tcPr>
          <w:p w14:paraId="675F6147">
            <w:pPr>
              <w:widowControl/>
              <w:spacing w:line="240" w:lineRule="auto"/>
              <w:ind w:firstLine="0" w:firstLineChars="0"/>
              <w:jc w:val="center"/>
              <w:rPr>
                <w:rFonts w:hint="eastAsia" w:ascii="宋体" w:hAnsi="宋体" w:cs="宋体"/>
                <w:color w:val="000000"/>
                <w:kern w:val="0"/>
                <w:sz w:val="21"/>
                <w:szCs w:val="21"/>
              </w:rPr>
            </w:pPr>
          </w:p>
        </w:tc>
      </w:tr>
      <w:tr w14:paraId="1571DEEC">
        <w:tblPrEx>
          <w:tblCellMar>
            <w:top w:w="0" w:type="dxa"/>
            <w:left w:w="108" w:type="dxa"/>
            <w:bottom w:w="0" w:type="dxa"/>
            <w:right w:w="108" w:type="dxa"/>
          </w:tblCellMar>
        </w:tblPrEx>
        <w:trPr>
          <w:trHeight w:val="750" w:hRule="atLeast"/>
        </w:trPr>
        <w:tc>
          <w:tcPr>
            <w:tcW w:w="1276" w:type="dxa"/>
            <w:tcBorders>
              <w:top w:val="nil"/>
              <w:left w:val="single" w:color="auto" w:sz="4" w:space="0"/>
              <w:bottom w:val="single" w:color="auto" w:sz="4" w:space="0"/>
              <w:right w:val="single" w:color="auto" w:sz="4" w:space="0"/>
            </w:tcBorders>
            <w:noWrap/>
            <w:vAlign w:val="center"/>
          </w:tcPr>
          <w:p w14:paraId="62E069C8">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无机房客梯</w:t>
            </w:r>
          </w:p>
        </w:tc>
        <w:tc>
          <w:tcPr>
            <w:tcW w:w="1847" w:type="dxa"/>
            <w:tcBorders>
              <w:top w:val="nil"/>
              <w:left w:val="nil"/>
              <w:bottom w:val="single" w:color="auto" w:sz="4" w:space="0"/>
              <w:right w:val="single" w:color="auto" w:sz="4" w:space="0"/>
            </w:tcBorders>
            <w:noWrap/>
            <w:vAlign w:val="center"/>
          </w:tcPr>
          <w:p w14:paraId="3802404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Schindler 5500</w:t>
            </w:r>
          </w:p>
        </w:tc>
        <w:tc>
          <w:tcPr>
            <w:tcW w:w="1134" w:type="dxa"/>
            <w:tcBorders>
              <w:top w:val="nil"/>
              <w:left w:val="nil"/>
              <w:bottom w:val="single" w:color="auto" w:sz="4" w:space="0"/>
              <w:right w:val="single" w:color="auto" w:sz="4" w:space="0"/>
            </w:tcBorders>
            <w:noWrap/>
            <w:vAlign w:val="center"/>
          </w:tcPr>
          <w:p w14:paraId="63532B9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9/9/9</w:t>
            </w:r>
          </w:p>
        </w:tc>
        <w:tc>
          <w:tcPr>
            <w:tcW w:w="1130" w:type="dxa"/>
            <w:tcBorders>
              <w:top w:val="nil"/>
              <w:left w:val="nil"/>
              <w:bottom w:val="single" w:color="auto" w:sz="4" w:space="0"/>
              <w:right w:val="single" w:color="auto" w:sz="4" w:space="0"/>
            </w:tcBorders>
            <w:noWrap/>
            <w:vAlign w:val="center"/>
          </w:tcPr>
          <w:p w14:paraId="3A9B8BE5">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1600kg</w:t>
            </w:r>
          </w:p>
        </w:tc>
        <w:tc>
          <w:tcPr>
            <w:tcW w:w="1276" w:type="dxa"/>
            <w:tcBorders>
              <w:top w:val="nil"/>
              <w:left w:val="nil"/>
              <w:bottom w:val="single" w:color="auto" w:sz="4" w:space="0"/>
              <w:right w:val="single" w:color="auto" w:sz="4" w:space="0"/>
            </w:tcBorders>
            <w:noWrap/>
            <w:vAlign w:val="center"/>
          </w:tcPr>
          <w:p w14:paraId="18AF3CE9">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1.75</w:t>
            </w:r>
          </w:p>
        </w:tc>
        <w:tc>
          <w:tcPr>
            <w:tcW w:w="1134" w:type="dxa"/>
            <w:tcBorders>
              <w:top w:val="nil"/>
              <w:left w:val="nil"/>
              <w:bottom w:val="single" w:color="auto" w:sz="4" w:space="0"/>
              <w:right w:val="single" w:color="auto" w:sz="4" w:space="0"/>
            </w:tcBorders>
            <w:noWrap/>
            <w:vAlign w:val="center"/>
          </w:tcPr>
          <w:p w14:paraId="0B65D474">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1376" w:type="dxa"/>
            <w:tcBorders>
              <w:top w:val="nil"/>
              <w:left w:val="nil"/>
              <w:bottom w:val="single" w:color="auto" w:sz="4" w:space="0"/>
              <w:right w:val="single" w:color="auto" w:sz="4" w:space="0"/>
            </w:tcBorders>
            <w:noWrap/>
            <w:vAlign w:val="center"/>
          </w:tcPr>
          <w:p w14:paraId="7379B5B4">
            <w:pPr>
              <w:widowControl/>
              <w:spacing w:line="240" w:lineRule="auto"/>
              <w:ind w:firstLine="0" w:firstLineChars="0"/>
              <w:jc w:val="center"/>
              <w:rPr>
                <w:rFonts w:hint="eastAsia" w:ascii="宋体" w:hAnsi="宋体" w:cs="宋体"/>
                <w:color w:val="000000"/>
                <w:kern w:val="0"/>
                <w:sz w:val="21"/>
                <w:szCs w:val="21"/>
              </w:rPr>
            </w:pPr>
          </w:p>
        </w:tc>
      </w:tr>
      <w:tr w14:paraId="34735F8B">
        <w:tblPrEx>
          <w:tblCellMar>
            <w:top w:w="0" w:type="dxa"/>
            <w:left w:w="108" w:type="dxa"/>
            <w:bottom w:w="0" w:type="dxa"/>
            <w:right w:w="108" w:type="dxa"/>
          </w:tblCellMar>
        </w:tblPrEx>
        <w:trPr>
          <w:trHeight w:val="750" w:hRule="atLeast"/>
        </w:trPr>
        <w:tc>
          <w:tcPr>
            <w:tcW w:w="1276" w:type="dxa"/>
            <w:tcBorders>
              <w:top w:val="single" w:color="auto" w:sz="4" w:space="0"/>
              <w:left w:val="single" w:color="auto" w:sz="4" w:space="0"/>
              <w:bottom w:val="single" w:color="auto" w:sz="4" w:space="0"/>
              <w:right w:val="single" w:color="auto" w:sz="4" w:space="0"/>
            </w:tcBorders>
            <w:noWrap/>
            <w:vAlign w:val="center"/>
          </w:tcPr>
          <w:p w14:paraId="26DF047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无机房货梯兼消防、无障碍</w:t>
            </w:r>
          </w:p>
        </w:tc>
        <w:tc>
          <w:tcPr>
            <w:tcW w:w="1847" w:type="dxa"/>
            <w:tcBorders>
              <w:top w:val="single" w:color="auto" w:sz="4" w:space="0"/>
              <w:left w:val="nil"/>
              <w:bottom w:val="single" w:color="auto" w:sz="4" w:space="0"/>
              <w:right w:val="single" w:color="auto" w:sz="4" w:space="0"/>
            </w:tcBorders>
            <w:noWrap/>
            <w:vAlign w:val="center"/>
          </w:tcPr>
          <w:p w14:paraId="521CE69B">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Schindler 5500</w:t>
            </w:r>
          </w:p>
        </w:tc>
        <w:tc>
          <w:tcPr>
            <w:tcW w:w="1134" w:type="dxa"/>
            <w:tcBorders>
              <w:top w:val="single" w:color="auto" w:sz="4" w:space="0"/>
              <w:left w:val="nil"/>
              <w:bottom w:val="single" w:color="auto" w:sz="4" w:space="0"/>
              <w:right w:val="single" w:color="auto" w:sz="4" w:space="0"/>
            </w:tcBorders>
            <w:noWrap/>
            <w:vAlign w:val="center"/>
          </w:tcPr>
          <w:p w14:paraId="1A494752">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9/9/9</w:t>
            </w:r>
          </w:p>
        </w:tc>
        <w:tc>
          <w:tcPr>
            <w:tcW w:w="1130" w:type="dxa"/>
            <w:tcBorders>
              <w:top w:val="single" w:color="auto" w:sz="4" w:space="0"/>
              <w:left w:val="nil"/>
              <w:bottom w:val="single" w:color="auto" w:sz="4" w:space="0"/>
              <w:right w:val="single" w:color="auto" w:sz="4" w:space="0"/>
            </w:tcBorders>
            <w:noWrap/>
            <w:vAlign w:val="center"/>
          </w:tcPr>
          <w:p w14:paraId="0BF9400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2000kg</w:t>
            </w:r>
          </w:p>
        </w:tc>
        <w:tc>
          <w:tcPr>
            <w:tcW w:w="1276" w:type="dxa"/>
            <w:tcBorders>
              <w:top w:val="single" w:color="auto" w:sz="4" w:space="0"/>
              <w:left w:val="nil"/>
              <w:bottom w:val="single" w:color="auto" w:sz="4" w:space="0"/>
              <w:right w:val="single" w:color="auto" w:sz="4" w:space="0"/>
            </w:tcBorders>
            <w:noWrap/>
            <w:vAlign w:val="center"/>
          </w:tcPr>
          <w:p w14:paraId="2C64A23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w:t>
            </w:r>
          </w:p>
        </w:tc>
        <w:tc>
          <w:tcPr>
            <w:tcW w:w="1134" w:type="dxa"/>
            <w:tcBorders>
              <w:top w:val="single" w:color="auto" w:sz="4" w:space="0"/>
              <w:left w:val="nil"/>
              <w:bottom w:val="single" w:color="auto" w:sz="4" w:space="0"/>
              <w:right w:val="single" w:color="auto" w:sz="4" w:space="0"/>
            </w:tcBorders>
            <w:noWrap/>
            <w:vAlign w:val="center"/>
          </w:tcPr>
          <w:p w14:paraId="13A99E5E">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1376" w:type="dxa"/>
            <w:tcBorders>
              <w:top w:val="single" w:color="auto" w:sz="4" w:space="0"/>
              <w:left w:val="nil"/>
              <w:bottom w:val="single" w:color="auto" w:sz="4" w:space="0"/>
              <w:right w:val="single" w:color="auto" w:sz="4" w:space="0"/>
            </w:tcBorders>
            <w:noWrap/>
            <w:vAlign w:val="center"/>
          </w:tcPr>
          <w:p w14:paraId="7F517F6E">
            <w:pPr>
              <w:widowControl/>
              <w:spacing w:line="240" w:lineRule="auto"/>
              <w:ind w:firstLine="0" w:firstLineChars="0"/>
              <w:jc w:val="center"/>
              <w:rPr>
                <w:rFonts w:hint="eastAsia" w:ascii="宋体" w:hAnsi="宋体" w:cs="宋体"/>
                <w:color w:val="000000"/>
                <w:kern w:val="0"/>
                <w:sz w:val="21"/>
                <w:szCs w:val="21"/>
              </w:rPr>
            </w:pPr>
          </w:p>
        </w:tc>
      </w:tr>
      <w:tr w14:paraId="5688094D">
        <w:tblPrEx>
          <w:tblCellMar>
            <w:top w:w="0" w:type="dxa"/>
            <w:left w:w="108" w:type="dxa"/>
            <w:bottom w:w="0" w:type="dxa"/>
            <w:right w:w="108" w:type="dxa"/>
          </w:tblCellMar>
        </w:tblPrEx>
        <w:trPr>
          <w:trHeight w:val="750" w:hRule="atLeast"/>
        </w:trPr>
        <w:tc>
          <w:tcPr>
            <w:tcW w:w="7797" w:type="dxa"/>
            <w:gridSpan w:val="6"/>
            <w:tcBorders>
              <w:top w:val="single" w:color="auto" w:sz="4" w:space="0"/>
              <w:left w:val="single" w:color="auto" w:sz="4" w:space="0"/>
              <w:bottom w:val="single" w:color="auto" w:sz="4" w:space="0"/>
              <w:right w:val="single" w:color="auto" w:sz="4" w:space="0"/>
            </w:tcBorders>
            <w:noWrap/>
            <w:vAlign w:val="center"/>
          </w:tcPr>
          <w:p w14:paraId="600622EC">
            <w:pPr>
              <w:widowControl/>
              <w:spacing w:line="240" w:lineRule="auto"/>
              <w:ind w:firstLine="0" w:firstLineChars="0"/>
              <w:jc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维保金额合计（含税）</w:t>
            </w:r>
          </w:p>
        </w:tc>
        <w:tc>
          <w:tcPr>
            <w:tcW w:w="1376" w:type="dxa"/>
            <w:tcBorders>
              <w:top w:val="single" w:color="auto" w:sz="4" w:space="0"/>
              <w:left w:val="nil"/>
              <w:bottom w:val="single" w:color="auto" w:sz="4" w:space="0"/>
              <w:right w:val="single" w:color="auto" w:sz="4" w:space="0"/>
            </w:tcBorders>
            <w:noWrap/>
            <w:vAlign w:val="center"/>
          </w:tcPr>
          <w:p w14:paraId="34D86107">
            <w:pPr>
              <w:widowControl/>
              <w:spacing w:line="240" w:lineRule="auto"/>
              <w:ind w:firstLine="0" w:firstLineChars="0"/>
              <w:jc w:val="center"/>
              <w:rPr>
                <w:rFonts w:hint="eastAsia" w:ascii="宋体" w:hAnsi="宋体" w:cs="宋体"/>
                <w:color w:val="000000"/>
                <w:kern w:val="0"/>
                <w:sz w:val="21"/>
                <w:szCs w:val="21"/>
              </w:rPr>
            </w:pPr>
          </w:p>
        </w:tc>
      </w:tr>
    </w:tbl>
    <w:p w14:paraId="4F4BAB42">
      <w:pPr>
        <w:widowControl/>
        <w:spacing w:line="360" w:lineRule="auto"/>
        <w:ind w:firstLine="643"/>
        <w:jc w:val="center"/>
        <w:rPr>
          <w:rFonts w:ascii="仿宋_GB2312" w:hAnsi="宋体" w:eastAsia="仿宋_GB2312"/>
          <w:b/>
          <w:bCs/>
          <w:sz w:val="32"/>
          <w:szCs w:val="32"/>
        </w:rPr>
      </w:pPr>
    </w:p>
    <w:p w14:paraId="3FD96565">
      <w:pPr>
        <w:widowControl/>
        <w:spacing w:line="360" w:lineRule="auto"/>
        <w:ind w:firstLine="643"/>
        <w:jc w:val="center"/>
        <w:rPr>
          <w:rFonts w:ascii="仿宋_GB2312" w:hAnsi="宋体" w:eastAsia="仿宋_GB2312"/>
          <w:b/>
          <w:bCs/>
          <w:sz w:val="32"/>
          <w:szCs w:val="32"/>
        </w:rPr>
      </w:pPr>
    </w:p>
    <w:p w14:paraId="3D622E0C">
      <w:pPr>
        <w:widowControl/>
        <w:spacing w:line="360" w:lineRule="auto"/>
        <w:ind w:firstLine="643"/>
        <w:jc w:val="center"/>
        <w:rPr>
          <w:rFonts w:ascii="仿宋_GB2312" w:hAnsi="宋体" w:eastAsia="仿宋_GB2312"/>
          <w:b/>
          <w:bCs/>
          <w:sz w:val="32"/>
          <w:szCs w:val="32"/>
        </w:rPr>
      </w:pPr>
    </w:p>
    <w:p w14:paraId="2B01CE9D">
      <w:pPr>
        <w:widowControl/>
        <w:spacing w:line="360" w:lineRule="auto"/>
        <w:ind w:firstLine="643"/>
        <w:jc w:val="center"/>
        <w:rPr>
          <w:rFonts w:ascii="仿宋_GB2312" w:hAnsi="宋体" w:eastAsia="仿宋_GB2312"/>
          <w:b/>
          <w:bCs/>
          <w:sz w:val="32"/>
          <w:szCs w:val="32"/>
        </w:rPr>
      </w:pPr>
    </w:p>
    <w:p w14:paraId="4419B605">
      <w:pPr>
        <w:widowControl/>
        <w:spacing w:line="360" w:lineRule="auto"/>
        <w:ind w:firstLine="643"/>
        <w:jc w:val="center"/>
        <w:rPr>
          <w:rFonts w:ascii="仿宋_GB2312" w:hAnsi="宋体" w:eastAsia="仿宋_GB2312"/>
          <w:b/>
          <w:bCs/>
          <w:sz w:val="32"/>
          <w:szCs w:val="32"/>
        </w:rPr>
      </w:pPr>
    </w:p>
    <w:p w14:paraId="67901FB1">
      <w:pPr>
        <w:widowControl/>
        <w:ind w:firstLine="482"/>
        <w:jc w:val="left"/>
        <w:rPr>
          <w:rFonts w:ascii="仿宋" w:hAnsi="仿宋" w:eastAsia="仿宋"/>
          <w:b/>
          <w:color w:val="000000" w:themeColor="text1"/>
          <w14:textFill>
            <w14:solidFill>
              <w14:schemeClr w14:val="tx1"/>
            </w14:solidFill>
          </w14:textFill>
        </w:rPr>
      </w:pPr>
    </w:p>
    <w:p w14:paraId="4A460F88">
      <w:pPr>
        <w:widowControl/>
        <w:ind w:firstLine="482"/>
        <w:jc w:val="left"/>
        <w:rPr>
          <w:rFonts w:ascii="仿宋" w:hAnsi="仿宋" w:eastAsia="仿宋"/>
          <w:b/>
          <w:color w:val="000000" w:themeColor="text1"/>
          <w14:textFill>
            <w14:solidFill>
              <w14:schemeClr w14:val="tx1"/>
            </w14:solidFill>
          </w14:textFill>
        </w:rPr>
      </w:pPr>
    </w:p>
    <w:p w14:paraId="50826985">
      <w:pPr>
        <w:tabs>
          <w:tab w:val="left" w:pos="1862"/>
        </w:tabs>
        <w:adjustRightInd w:val="0"/>
        <w:snapToGrid w:val="0"/>
        <w:rPr>
          <w:rFonts w:ascii="仿宋" w:hAnsi="仿宋" w:eastAsia="仿宋" w:cstheme="majorBidi"/>
          <w:color w:val="000000" w:themeColor="text1"/>
          <w:sz w:val="28"/>
          <w:szCs w:val="28"/>
          <w14:textFill>
            <w14:solidFill>
              <w14:schemeClr w14:val="tx1"/>
            </w14:solidFill>
          </w14:textFill>
        </w:rPr>
      </w:pPr>
    </w:p>
    <w:p w14:paraId="641894A7">
      <w:pPr>
        <w:widowControl/>
        <w:spacing w:line="360" w:lineRule="auto"/>
        <w:ind w:firstLine="0" w:firstLineChars="0"/>
        <w:jc w:val="left"/>
        <w:rPr>
          <w:rFonts w:ascii="仿宋_GB2312" w:hAnsi="宋体" w:eastAsia="仿宋_GB2312" w:cs="Times New Roman"/>
          <w:kern w:val="0"/>
          <w:szCs w:val="24"/>
        </w:rPr>
      </w:pPr>
      <w:r>
        <w:rPr>
          <w:rFonts w:hint="eastAsia" w:ascii="仿宋_GB2312" w:hAnsi="宋体" w:eastAsia="仿宋_GB2312" w:cs="Times New Roman"/>
          <w:kern w:val="0"/>
          <w:szCs w:val="24"/>
        </w:rPr>
        <w:t>附件6：</w:t>
      </w:r>
    </w:p>
    <w:p w14:paraId="028B21D7">
      <w:pPr>
        <w:tabs>
          <w:tab w:val="left" w:pos="1862"/>
        </w:tabs>
        <w:adjustRightInd w:val="0"/>
        <w:snapToGrid w:val="0"/>
        <w:rPr>
          <w:rFonts w:ascii="仿宋" w:hAnsi="仿宋" w:eastAsia="仿宋" w:cstheme="majorBidi"/>
          <w:color w:val="000000" w:themeColor="text1"/>
          <w:sz w:val="28"/>
          <w:szCs w:val="28"/>
          <w14:textFill>
            <w14:solidFill>
              <w14:schemeClr w14:val="tx1"/>
            </w14:solidFill>
          </w14:textFill>
        </w:rPr>
      </w:pPr>
    </w:p>
    <w:p w14:paraId="4E13E5CB">
      <w:pPr>
        <w:widowControl/>
        <w:spacing w:line="360" w:lineRule="auto"/>
        <w:ind w:firstLine="0" w:firstLineChars="0"/>
        <w:jc w:val="center"/>
        <w:rPr>
          <w:rFonts w:ascii="仿宋_GB2312" w:hAnsi="宋体" w:eastAsia="仿宋_GB2312"/>
          <w:b/>
          <w:bCs/>
          <w:sz w:val="32"/>
          <w:szCs w:val="32"/>
        </w:rPr>
      </w:pPr>
      <w:bookmarkStart w:id="16" w:name="_Hlk161583364"/>
      <w:r>
        <w:rPr>
          <w:rFonts w:hint="eastAsia" w:ascii="仿宋_GB2312" w:hAnsi="宋体" w:eastAsia="仿宋_GB2312"/>
          <w:b/>
          <w:bCs/>
          <w:sz w:val="32"/>
          <w:szCs w:val="32"/>
        </w:rPr>
        <w:t>企业信息调查表</w:t>
      </w:r>
    </w:p>
    <w:tbl>
      <w:tblPr>
        <w:tblStyle w:val="9"/>
        <w:tblW w:w="10303" w:type="dxa"/>
        <w:jc w:val="center"/>
        <w:tblLayout w:type="autofit"/>
        <w:tblCellMar>
          <w:top w:w="0" w:type="dxa"/>
          <w:left w:w="108" w:type="dxa"/>
          <w:bottom w:w="0" w:type="dxa"/>
          <w:right w:w="108" w:type="dxa"/>
        </w:tblCellMar>
      </w:tblPr>
      <w:tblGrid>
        <w:gridCol w:w="876"/>
        <w:gridCol w:w="1103"/>
        <w:gridCol w:w="876"/>
        <w:gridCol w:w="876"/>
        <w:gridCol w:w="876"/>
        <w:gridCol w:w="1058"/>
        <w:gridCol w:w="709"/>
        <w:gridCol w:w="2087"/>
        <w:gridCol w:w="1842"/>
      </w:tblGrid>
      <w:tr w14:paraId="7A3D4AA8">
        <w:tblPrEx>
          <w:tblCellMar>
            <w:top w:w="0" w:type="dxa"/>
            <w:left w:w="108" w:type="dxa"/>
            <w:bottom w:w="0" w:type="dxa"/>
            <w:right w:w="108" w:type="dxa"/>
          </w:tblCellMar>
        </w:tblPrEx>
        <w:trPr>
          <w:trHeight w:val="118"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F1ECA">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序号</w:t>
            </w:r>
          </w:p>
        </w:tc>
        <w:tc>
          <w:tcPr>
            <w:tcW w:w="1103" w:type="dxa"/>
            <w:tcBorders>
              <w:top w:val="single" w:color="auto" w:sz="4" w:space="0"/>
              <w:left w:val="nil"/>
              <w:bottom w:val="single" w:color="auto" w:sz="4" w:space="0"/>
              <w:right w:val="single" w:color="auto" w:sz="4" w:space="0"/>
            </w:tcBorders>
            <w:shd w:val="clear" w:color="auto" w:fill="auto"/>
            <w:noWrap/>
            <w:vAlign w:val="center"/>
          </w:tcPr>
          <w:p w14:paraId="6A6E2178">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公司名称</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0E07012C">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法人</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2989E848">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监事</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4705A36C">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董事</w:t>
            </w:r>
          </w:p>
        </w:tc>
        <w:tc>
          <w:tcPr>
            <w:tcW w:w="1058" w:type="dxa"/>
            <w:tcBorders>
              <w:top w:val="single" w:color="auto" w:sz="4" w:space="0"/>
              <w:left w:val="nil"/>
              <w:bottom w:val="single" w:color="auto" w:sz="4" w:space="0"/>
              <w:right w:val="single" w:color="auto" w:sz="4" w:space="0"/>
            </w:tcBorders>
            <w:shd w:val="clear" w:color="auto" w:fill="auto"/>
            <w:noWrap/>
            <w:vAlign w:val="center"/>
          </w:tcPr>
          <w:p w14:paraId="51FB00FE">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总经理</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28619F4">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股东</w:t>
            </w:r>
          </w:p>
        </w:tc>
        <w:tc>
          <w:tcPr>
            <w:tcW w:w="2087" w:type="dxa"/>
            <w:tcBorders>
              <w:top w:val="single" w:color="auto" w:sz="4" w:space="0"/>
              <w:left w:val="nil"/>
              <w:bottom w:val="single" w:color="auto" w:sz="4" w:space="0"/>
              <w:right w:val="single" w:color="auto" w:sz="4" w:space="0"/>
            </w:tcBorders>
            <w:shd w:val="clear" w:color="auto" w:fill="auto"/>
            <w:vAlign w:val="center"/>
          </w:tcPr>
          <w:p w14:paraId="54153AE3">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联系人及联系方式（业务经办人）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90BB6C5">
            <w:pPr>
              <w:widowControl/>
              <w:spacing w:line="360" w:lineRule="exact"/>
              <w:ind w:firstLine="0" w:firstLineChars="0"/>
              <w:jc w:val="center"/>
              <w:rPr>
                <w:rFonts w:ascii="宋体" w:hAnsi="宋体" w:cs="宋体"/>
                <w:color w:val="000000"/>
                <w:kern w:val="0"/>
                <w:sz w:val="22"/>
              </w:rPr>
            </w:pPr>
            <w:r>
              <w:rPr>
                <w:rFonts w:hint="eastAsia" w:ascii="宋体" w:hAnsi="宋体" w:cs="宋体"/>
                <w:color w:val="000000"/>
                <w:kern w:val="0"/>
                <w:sz w:val="22"/>
              </w:rPr>
              <w:t>公司注册地址</w:t>
            </w:r>
          </w:p>
        </w:tc>
      </w:tr>
      <w:tr w14:paraId="69F662C1">
        <w:tblPrEx>
          <w:tblCellMar>
            <w:top w:w="0" w:type="dxa"/>
            <w:left w:w="108" w:type="dxa"/>
            <w:bottom w:w="0" w:type="dxa"/>
            <w:right w:w="108" w:type="dxa"/>
          </w:tblCellMar>
        </w:tblPrEx>
        <w:trPr>
          <w:trHeight w:val="1619" w:hRule="atLeast"/>
          <w:jc w:val="center"/>
        </w:trPr>
        <w:tc>
          <w:tcPr>
            <w:tcW w:w="876" w:type="dxa"/>
            <w:tcBorders>
              <w:top w:val="nil"/>
              <w:left w:val="single" w:color="auto" w:sz="4" w:space="0"/>
              <w:bottom w:val="single" w:color="auto" w:sz="4" w:space="0"/>
              <w:right w:val="single" w:color="auto" w:sz="4" w:space="0"/>
            </w:tcBorders>
            <w:shd w:val="clear" w:color="auto" w:fill="auto"/>
            <w:noWrap/>
            <w:vAlign w:val="center"/>
          </w:tcPr>
          <w:p w14:paraId="6B4E00D8">
            <w:pPr>
              <w:widowControl/>
              <w:ind w:firstLine="440"/>
              <w:jc w:val="center"/>
              <w:rPr>
                <w:rFonts w:ascii="宋体" w:hAnsi="宋体" w:cs="宋体"/>
                <w:color w:val="000000"/>
                <w:kern w:val="0"/>
                <w:sz w:val="22"/>
              </w:rPr>
            </w:pPr>
            <w:r>
              <w:rPr>
                <w:rFonts w:hint="eastAsia" w:ascii="宋体" w:hAnsi="宋体" w:cs="宋体"/>
                <w:color w:val="000000"/>
                <w:kern w:val="0"/>
                <w:sz w:val="22"/>
              </w:rPr>
              <w:t>1</w:t>
            </w:r>
          </w:p>
        </w:tc>
        <w:tc>
          <w:tcPr>
            <w:tcW w:w="1103" w:type="dxa"/>
            <w:tcBorders>
              <w:top w:val="nil"/>
              <w:left w:val="nil"/>
              <w:bottom w:val="single" w:color="auto" w:sz="4" w:space="0"/>
              <w:right w:val="single" w:color="auto" w:sz="4" w:space="0"/>
            </w:tcBorders>
            <w:shd w:val="clear" w:color="auto" w:fill="auto"/>
            <w:noWrap/>
            <w:vAlign w:val="center"/>
          </w:tcPr>
          <w:p w14:paraId="088B2D41">
            <w:pPr>
              <w:widowControl/>
              <w:ind w:firstLine="440"/>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noWrap/>
            <w:vAlign w:val="center"/>
          </w:tcPr>
          <w:p w14:paraId="75BAE36A">
            <w:pPr>
              <w:widowControl/>
              <w:ind w:firstLine="440"/>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noWrap/>
            <w:vAlign w:val="center"/>
          </w:tcPr>
          <w:p w14:paraId="6DEC67E4">
            <w:pPr>
              <w:widowControl/>
              <w:ind w:firstLine="440"/>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noWrap/>
            <w:vAlign w:val="center"/>
          </w:tcPr>
          <w:p w14:paraId="300A684F">
            <w:pPr>
              <w:widowControl/>
              <w:ind w:firstLine="440"/>
              <w:jc w:val="center"/>
              <w:rPr>
                <w:rFonts w:ascii="宋体" w:hAnsi="宋体" w:cs="宋体"/>
                <w:color w:val="000000"/>
                <w:kern w:val="0"/>
                <w:sz w:val="22"/>
              </w:rPr>
            </w:pPr>
          </w:p>
        </w:tc>
        <w:tc>
          <w:tcPr>
            <w:tcW w:w="1058" w:type="dxa"/>
            <w:tcBorders>
              <w:top w:val="nil"/>
              <w:left w:val="nil"/>
              <w:bottom w:val="single" w:color="auto" w:sz="4" w:space="0"/>
              <w:right w:val="single" w:color="auto" w:sz="4" w:space="0"/>
            </w:tcBorders>
            <w:shd w:val="clear" w:color="auto" w:fill="auto"/>
            <w:noWrap/>
            <w:vAlign w:val="center"/>
          </w:tcPr>
          <w:p w14:paraId="30CDF27C">
            <w:pPr>
              <w:widowControl/>
              <w:ind w:firstLine="440"/>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noWrap/>
            <w:vAlign w:val="center"/>
          </w:tcPr>
          <w:p w14:paraId="4BE72B98">
            <w:pPr>
              <w:widowControl/>
              <w:ind w:firstLine="440"/>
              <w:jc w:val="center"/>
              <w:rPr>
                <w:rFonts w:ascii="宋体" w:hAnsi="宋体" w:cs="宋体"/>
                <w:color w:val="000000"/>
                <w:kern w:val="0"/>
                <w:sz w:val="22"/>
              </w:rPr>
            </w:pPr>
          </w:p>
        </w:tc>
        <w:tc>
          <w:tcPr>
            <w:tcW w:w="2087" w:type="dxa"/>
            <w:tcBorders>
              <w:top w:val="nil"/>
              <w:left w:val="nil"/>
              <w:bottom w:val="single" w:color="auto" w:sz="4" w:space="0"/>
              <w:right w:val="single" w:color="auto" w:sz="4" w:space="0"/>
            </w:tcBorders>
            <w:shd w:val="clear" w:color="auto" w:fill="auto"/>
            <w:noWrap/>
            <w:vAlign w:val="center"/>
          </w:tcPr>
          <w:p w14:paraId="699AD102">
            <w:pPr>
              <w:widowControl/>
              <w:ind w:firstLine="440"/>
              <w:jc w:val="center"/>
              <w:rPr>
                <w:rFonts w:ascii="宋体" w:hAnsi="宋体" w:cs="宋体"/>
                <w:color w:val="000000"/>
                <w:kern w:val="0"/>
                <w:sz w:val="22"/>
              </w:rPr>
            </w:pPr>
          </w:p>
        </w:tc>
        <w:tc>
          <w:tcPr>
            <w:tcW w:w="1842" w:type="dxa"/>
            <w:tcBorders>
              <w:top w:val="nil"/>
              <w:left w:val="nil"/>
              <w:bottom w:val="single" w:color="auto" w:sz="4" w:space="0"/>
              <w:right w:val="single" w:color="auto" w:sz="4" w:space="0"/>
            </w:tcBorders>
            <w:shd w:val="clear" w:color="auto" w:fill="auto"/>
            <w:noWrap/>
            <w:vAlign w:val="center"/>
          </w:tcPr>
          <w:p w14:paraId="1F43B69A">
            <w:pPr>
              <w:widowControl/>
              <w:ind w:firstLine="440"/>
              <w:jc w:val="center"/>
              <w:rPr>
                <w:rFonts w:ascii="宋体" w:hAnsi="宋体" w:cs="宋体"/>
                <w:color w:val="000000"/>
                <w:kern w:val="0"/>
                <w:sz w:val="22"/>
              </w:rPr>
            </w:pPr>
          </w:p>
        </w:tc>
      </w:tr>
    </w:tbl>
    <w:p w14:paraId="0F52FDFE">
      <w:pPr>
        <w:tabs>
          <w:tab w:val="left" w:pos="1862"/>
        </w:tabs>
        <w:adjustRightInd w:val="0"/>
        <w:snapToGrid w:val="0"/>
        <w:jc w:val="center"/>
        <w:rPr>
          <w:rFonts w:ascii="仿宋" w:hAnsi="仿宋" w:eastAsia="仿宋" w:cstheme="majorBidi"/>
          <w:color w:val="000000" w:themeColor="text1"/>
          <w:sz w:val="28"/>
          <w:szCs w:val="28"/>
          <w14:textFill>
            <w14:solidFill>
              <w14:schemeClr w14:val="tx1"/>
            </w14:solidFill>
          </w14:textFill>
        </w:rPr>
      </w:pPr>
    </w:p>
    <w:bookmarkEnd w:id="16"/>
    <w:p w14:paraId="203A7478">
      <w:pPr>
        <w:adjustRightInd w:val="0"/>
        <w:snapToGrid w:val="0"/>
        <w:ind w:firstLine="482"/>
        <w:jc w:val="left"/>
        <w:rPr>
          <w:rFonts w:ascii="仿宋" w:hAnsi="仿宋" w:eastAsia="仿宋"/>
          <w:b/>
          <w:color w:val="000000" w:themeColor="text1"/>
          <w14:textFill>
            <w14:solidFill>
              <w14:schemeClr w14:val="tx1"/>
            </w14:solidFill>
          </w14:textFill>
        </w:rPr>
      </w:pPr>
    </w:p>
    <w:p w14:paraId="4C5C8FD9">
      <w:pPr>
        <w:ind w:firstLine="480"/>
      </w:pPr>
    </w:p>
    <w:p w14:paraId="2A0D50D0">
      <w:pPr>
        <w:ind w:firstLine="480"/>
      </w:pPr>
    </w:p>
    <w:p w14:paraId="6BFED790">
      <w:pPr>
        <w:ind w:firstLine="480"/>
      </w:pPr>
    </w:p>
    <w:p w14:paraId="7D2F3CC0">
      <w:pPr>
        <w:ind w:firstLine="480"/>
      </w:pPr>
    </w:p>
    <w:p w14:paraId="0D72B1D0">
      <w:pPr>
        <w:ind w:firstLine="480"/>
      </w:pPr>
    </w:p>
    <w:p w14:paraId="21F92AB1">
      <w:pPr>
        <w:ind w:firstLine="480"/>
      </w:pPr>
    </w:p>
    <w:p w14:paraId="7D3E288F">
      <w:pPr>
        <w:ind w:firstLine="480"/>
      </w:pPr>
    </w:p>
    <w:p w14:paraId="04DA62CB">
      <w:pPr>
        <w:ind w:firstLine="480"/>
      </w:pPr>
    </w:p>
    <w:p w14:paraId="33217150">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736F4DF6">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06144CA5">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3FD76D1F">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48A9C0F0">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0B0A789F">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2DDF0039">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14DB047F">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0C871E47">
      <w:pPr>
        <w:widowControl/>
        <w:kinsoku w:val="0"/>
        <w:autoSpaceDE w:val="0"/>
        <w:autoSpaceDN w:val="0"/>
        <w:adjustRightInd w:val="0"/>
        <w:snapToGrid w:val="0"/>
        <w:spacing w:line="335" w:lineRule="auto"/>
        <w:ind w:firstLine="0" w:firstLineChars="0"/>
        <w:jc w:val="left"/>
        <w:textAlignment w:val="baseline"/>
        <w:rPr>
          <w:rFonts w:ascii="Arial" w:hAnsi="Arial" w:eastAsia="Arial" w:cs="Arial"/>
          <w:snapToGrid w:val="0"/>
          <w:color w:val="000000"/>
          <w:kern w:val="0"/>
          <w:sz w:val="21"/>
          <w:szCs w:val="21"/>
          <w:lang w:eastAsia="en-US"/>
        </w:rPr>
      </w:pPr>
    </w:p>
    <w:p w14:paraId="3C14CB26">
      <w:pPr>
        <w:widowControl/>
        <w:spacing w:line="360" w:lineRule="auto"/>
        <w:ind w:firstLine="0" w:firstLineChars="0"/>
        <w:jc w:val="left"/>
        <w:rPr>
          <w:rFonts w:ascii="宋体" w:hAnsi="宋体" w:eastAsia="宋体" w:cs="宋体"/>
          <w:b/>
          <w:bCs/>
          <w:snapToGrid w:val="0"/>
          <w:color w:val="000000"/>
          <w:spacing w:val="-7"/>
          <w:kern w:val="0"/>
          <w:sz w:val="43"/>
          <w:szCs w:val="43"/>
          <w:lang w:eastAsia="en-US"/>
        </w:rPr>
      </w:pPr>
      <w:r>
        <w:rPr>
          <w:rFonts w:hint="eastAsia" w:ascii="仿宋_GB2312" w:hAnsi="宋体" w:eastAsia="仿宋_GB2312" w:cs="Times New Roman"/>
          <w:kern w:val="0"/>
          <w:szCs w:val="24"/>
        </w:rPr>
        <w:t>附件</w:t>
      </w:r>
      <w:r>
        <w:rPr>
          <w:rFonts w:hint="eastAsia" w:ascii="仿宋_GB2312" w:hAnsi="宋体" w:eastAsia="仿宋_GB2312" w:cs="Times New Roman"/>
          <w:kern w:val="0"/>
          <w:szCs w:val="24"/>
          <w:lang w:val="en-US" w:eastAsia="zh-CN"/>
        </w:rPr>
        <w:t>7</w:t>
      </w:r>
      <w:r>
        <w:rPr>
          <w:rFonts w:hint="eastAsia" w:ascii="仿宋_GB2312" w:hAnsi="宋体" w:eastAsia="仿宋_GB2312" w:cs="Times New Roman"/>
          <w:kern w:val="0"/>
          <w:szCs w:val="24"/>
        </w:rPr>
        <w:t>：</w:t>
      </w:r>
    </w:p>
    <w:p w14:paraId="4B22699E">
      <w:pPr>
        <w:widowControl/>
        <w:kinsoku w:val="0"/>
        <w:autoSpaceDE w:val="0"/>
        <w:autoSpaceDN w:val="0"/>
        <w:adjustRightInd w:val="0"/>
        <w:snapToGrid w:val="0"/>
        <w:spacing w:before="102" w:line="219" w:lineRule="auto"/>
        <w:ind w:left="2821" w:firstLine="0" w:firstLineChars="0"/>
        <w:jc w:val="left"/>
        <w:textAlignment w:val="baseline"/>
        <w:rPr>
          <w:rFonts w:ascii="宋体" w:hAnsi="宋体" w:eastAsia="宋体" w:cs="宋体"/>
          <w:snapToGrid w:val="0"/>
          <w:color w:val="000000"/>
          <w:kern w:val="0"/>
          <w:sz w:val="43"/>
          <w:szCs w:val="43"/>
          <w:lang w:eastAsia="en-US"/>
        </w:rPr>
      </w:pPr>
      <w:r>
        <w:rPr>
          <w:rFonts w:ascii="宋体" w:hAnsi="宋体" w:eastAsia="宋体" w:cs="宋体"/>
          <w:b/>
          <w:bCs/>
          <w:snapToGrid w:val="0"/>
          <w:color w:val="000000"/>
          <w:spacing w:val="-7"/>
          <w:kern w:val="0"/>
          <w:sz w:val="43"/>
          <w:szCs w:val="43"/>
          <w:lang w:eastAsia="en-US"/>
        </w:rPr>
        <w:t>供应商基本情况表</w:t>
      </w:r>
    </w:p>
    <w:p w14:paraId="6D2B1C7B">
      <w:pPr>
        <w:widowControl/>
        <w:kinsoku w:val="0"/>
        <w:autoSpaceDE w:val="0"/>
        <w:autoSpaceDN w:val="0"/>
        <w:adjustRightInd w:val="0"/>
        <w:snapToGrid w:val="0"/>
        <w:spacing w:before="278" w:line="223" w:lineRule="auto"/>
        <w:ind w:left="154" w:firstLine="0" w:firstLineChars="0"/>
        <w:jc w:val="left"/>
        <w:textAlignment w:val="baseline"/>
        <w:rPr>
          <w:rFonts w:ascii="黑体" w:hAnsi="黑体" w:eastAsia="黑体" w:cs="黑体"/>
          <w:snapToGrid w:val="0"/>
          <w:color w:val="000000"/>
          <w:kern w:val="0"/>
          <w:sz w:val="22"/>
          <w:szCs w:val="22"/>
          <w:lang w:eastAsia="en-US"/>
        </w:rPr>
      </w:pPr>
      <w:r>
        <w:rPr>
          <w:rFonts w:ascii="黑体" w:hAnsi="黑体" w:eastAsia="黑体" w:cs="黑体"/>
          <w:snapToGrid w:val="0"/>
          <w:color w:val="000000"/>
          <w:spacing w:val="4"/>
          <w:kern w:val="0"/>
          <w:sz w:val="22"/>
          <w:szCs w:val="22"/>
          <w:lang w:eastAsia="en-US"/>
        </w:rPr>
        <w:t>填表单位：(加盖单位公章)        填表日期：</w:t>
      </w:r>
      <w:r>
        <w:rPr>
          <w:rFonts w:ascii="黑体" w:hAnsi="黑体" w:eastAsia="黑体" w:cs="黑体"/>
          <w:snapToGrid w:val="0"/>
          <w:color w:val="000000"/>
          <w:spacing w:val="22"/>
          <w:kern w:val="0"/>
          <w:sz w:val="22"/>
          <w:szCs w:val="22"/>
          <w:lang w:eastAsia="en-US"/>
        </w:rPr>
        <w:t xml:space="preserve">   </w:t>
      </w:r>
      <w:r>
        <w:rPr>
          <w:rFonts w:ascii="黑体" w:hAnsi="黑体" w:eastAsia="黑体" w:cs="黑体"/>
          <w:snapToGrid w:val="0"/>
          <w:color w:val="000000"/>
          <w:spacing w:val="4"/>
          <w:kern w:val="0"/>
          <w:sz w:val="22"/>
          <w:szCs w:val="22"/>
          <w:lang w:eastAsia="en-US"/>
        </w:rPr>
        <w:t>年   月   日</w:t>
      </w:r>
    </w:p>
    <w:p w14:paraId="0BC44616">
      <w:pPr>
        <w:widowControl/>
        <w:kinsoku w:val="0"/>
        <w:autoSpaceDE w:val="0"/>
        <w:autoSpaceDN w:val="0"/>
        <w:adjustRightInd w:val="0"/>
        <w:snapToGrid w:val="0"/>
        <w:spacing w:line="121" w:lineRule="exact"/>
        <w:ind w:firstLine="0" w:firstLineChars="0"/>
        <w:jc w:val="left"/>
        <w:textAlignment w:val="baseline"/>
        <w:rPr>
          <w:rFonts w:ascii="Arial" w:hAnsi="Arial" w:eastAsia="Arial" w:cs="Arial"/>
          <w:snapToGrid w:val="0"/>
          <w:color w:val="000000"/>
          <w:kern w:val="0"/>
          <w:sz w:val="21"/>
          <w:szCs w:val="21"/>
          <w:lang w:eastAsia="en-US"/>
        </w:rPr>
      </w:pPr>
    </w:p>
    <w:tbl>
      <w:tblPr>
        <w:tblStyle w:val="20"/>
        <w:tblW w:w="88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679"/>
        <w:gridCol w:w="1588"/>
        <w:gridCol w:w="929"/>
        <w:gridCol w:w="799"/>
        <w:gridCol w:w="1189"/>
        <w:gridCol w:w="1488"/>
        <w:gridCol w:w="1489"/>
      </w:tblGrid>
      <w:tr w14:paraId="1B937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403" w:type="dxa"/>
            <w:gridSpan w:val="2"/>
            <w:vAlign w:val="top"/>
          </w:tcPr>
          <w:p w14:paraId="170190C7">
            <w:pPr>
              <w:kinsoku w:val="0"/>
              <w:autoSpaceDE w:val="0"/>
              <w:autoSpaceDN w:val="0"/>
              <w:adjustRightInd w:val="0"/>
              <w:snapToGrid w:val="0"/>
              <w:spacing w:before="72" w:line="219" w:lineRule="auto"/>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采购人</w:t>
            </w:r>
          </w:p>
        </w:tc>
        <w:tc>
          <w:tcPr>
            <w:tcW w:w="2517" w:type="dxa"/>
            <w:gridSpan w:val="2"/>
            <w:vAlign w:val="top"/>
          </w:tcPr>
          <w:p w14:paraId="4EA341CD">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68623E0F">
            <w:pPr>
              <w:kinsoku w:val="0"/>
              <w:autoSpaceDE w:val="0"/>
              <w:autoSpaceDN w:val="0"/>
              <w:adjustRightInd w:val="0"/>
              <w:snapToGrid w:val="0"/>
              <w:spacing w:before="75" w:line="220" w:lineRule="auto"/>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项目名称</w:t>
            </w:r>
          </w:p>
        </w:tc>
        <w:tc>
          <w:tcPr>
            <w:tcW w:w="2977" w:type="dxa"/>
            <w:gridSpan w:val="2"/>
            <w:vAlign w:val="top"/>
          </w:tcPr>
          <w:p w14:paraId="0E87584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36FF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403" w:type="dxa"/>
            <w:gridSpan w:val="2"/>
            <w:vAlign w:val="top"/>
          </w:tcPr>
          <w:p w14:paraId="3E089C92">
            <w:pPr>
              <w:kinsoku w:val="0"/>
              <w:autoSpaceDE w:val="0"/>
              <w:autoSpaceDN w:val="0"/>
              <w:adjustRightInd w:val="0"/>
              <w:snapToGrid w:val="0"/>
              <w:spacing w:before="269"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响应供应商</w:t>
            </w:r>
          </w:p>
        </w:tc>
        <w:tc>
          <w:tcPr>
            <w:tcW w:w="2517" w:type="dxa"/>
            <w:gridSpan w:val="2"/>
            <w:vAlign w:val="top"/>
          </w:tcPr>
          <w:p w14:paraId="209424A5">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40F535BC">
            <w:pPr>
              <w:kinsoku w:val="0"/>
              <w:autoSpaceDE w:val="0"/>
              <w:autoSpaceDN w:val="0"/>
              <w:adjustRightInd w:val="0"/>
              <w:snapToGrid w:val="0"/>
              <w:spacing w:before="88" w:line="265" w:lineRule="auto"/>
              <w:ind w:left="0" w:leftChars="0" w:right="56"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供应商统一社会信</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用代码</w:t>
            </w:r>
          </w:p>
        </w:tc>
        <w:tc>
          <w:tcPr>
            <w:tcW w:w="2977" w:type="dxa"/>
            <w:gridSpan w:val="2"/>
            <w:vAlign w:val="top"/>
          </w:tcPr>
          <w:p w14:paraId="05FD86D5">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6CED5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885" w:type="dxa"/>
            <w:gridSpan w:val="8"/>
            <w:vAlign w:val="top"/>
          </w:tcPr>
          <w:p w14:paraId="1EF011C4">
            <w:pPr>
              <w:kinsoku w:val="0"/>
              <w:autoSpaceDE w:val="0"/>
              <w:autoSpaceDN w:val="0"/>
              <w:adjustRightInd w:val="0"/>
              <w:snapToGrid w:val="0"/>
              <w:spacing w:before="66" w:line="219" w:lineRule="auto"/>
              <w:ind w:left="325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3"/>
                <w:kern w:val="0"/>
                <w:sz w:val="23"/>
                <w:szCs w:val="23"/>
                <w:lang w:val="en-US" w:eastAsia="en-US" w:bidi="ar-SA"/>
              </w:rPr>
              <w:t>响应供应商相关人员情况</w:t>
            </w:r>
          </w:p>
        </w:tc>
      </w:tr>
      <w:tr w14:paraId="6ABB3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4" w:type="dxa"/>
            <w:vAlign w:val="top"/>
          </w:tcPr>
          <w:p w14:paraId="5F08B3BB">
            <w:pPr>
              <w:kinsoku w:val="0"/>
              <w:autoSpaceDE w:val="0"/>
              <w:autoSpaceDN w:val="0"/>
              <w:adjustRightInd w:val="0"/>
              <w:snapToGrid w:val="0"/>
              <w:spacing w:before="262" w:line="221"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序号</w:t>
            </w:r>
          </w:p>
        </w:tc>
        <w:tc>
          <w:tcPr>
            <w:tcW w:w="2267" w:type="dxa"/>
            <w:gridSpan w:val="2"/>
            <w:vAlign w:val="top"/>
          </w:tcPr>
          <w:p w14:paraId="76555634">
            <w:pPr>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职务</w:t>
            </w:r>
          </w:p>
        </w:tc>
        <w:tc>
          <w:tcPr>
            <w:tcW w:w="929" w:type="dxa"/>
            <w:vAlign w:val="top"/>
          </w:tcPr>
          <w:p w14:paraId="230E2D30">
            <w:pPr>
              <w:kinsoku w:val="0"/>
              <w:autoSpaceDE w:val="0"/>
              <w:autoSpaceDN w:val="0"/>
              <w:adjustRightInd w:val="0"/>
              <w:snapToGrid w:val="0"/>
              <w:spacing w:before="261"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4"/>
                <w:kern w:val="0"/>
                <w:sz w:val="23"/>
                <w:szCs w:val="23"/>
                <w:lang w:val="en-US" w:eastAsia="en-US" w:bidi="ar-SA"/>
              </w:rPr>
              <w:t>姓名</w:t>
            </w:r>
          </w:p>
        </w:tc>
        <w:tc>
          <w:tcPr>
            <w:tcW w:w="1988" w:type="dxa"/>
            <w:gridSpan w:val="2"/>
            <w:vAlign w:val="top"/>
          </w:tcPr>
          <w:p w14:paraId="09F7ACCC">
            <w:pPr>
              <w:kinsoku w:val="0"/>
              <w:autoSpaceDE w:val="0"/>
              <w:autoSpaceDN w:val="0"/>
              <w:adjustRightInd w:val="0"/>
              <w:snapToGrid w:val="0"/>
              <w:spacing w:before="261"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身份证号码</w:t>
            </w:r>
          </w:p>
        </w:tc>
        <w:tc>
          <w:tcPr>
            <w:tcW w:w="1488" w:type="dxa"/>
            <w:vAlign w:val="top"/>
          </w:tcPr>
          <w:p w14:paraId="7B4C2DF0">
            <w:pPr>
              <w:kinsoku w:val="0"/>
              <w:autoSpaceDE w:val="0"/>
              <w:autoSpaceDN w:val="0"/>
              <w:adjustRightInd w:val="0"/>
              <w:snapToGrid w:val="0"/>
              <w:spacing w:before="91" w:line="260" w:lineRule="auto"/>
              <w:ind w:left="0" w:leftChars="0" w:right="26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劳动合同</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2"/>
                <w:kern w:val="0"/>
                <w:sz w:val="23"/>
                <w:szCs w:val="23"/>
                <w:lang w:val="en-US" w:eastAsia="en-US" w:bidi="ar-SA"/>
              </w:rPr>
              <w:t>关系单位</w:t>
            </w:r>
          </w:p>
        </w:tc>
        <w:tc>
          <w:tcPr>
            <w:tcW w:w="1489" w:type="dxa"/>
            <w:vAlign w:val="top"/>
          </w:tcPr>
          <w:p w14:paraId="7A93FD04">
            <w:pPr>
              <w:kinsoku w:val="0"/>
              <w:autoSpaceDE w:val="0"/>
              <w:autoSpaceDN w:val="0"/>
              <w:adjustRightInd w:val="0"/>
              <w:snapToGrid w:val="0"/>
              <w:spacing w:before="81" w:line="264" w:lineRule="auto"/>
              <w:ind w:left="0" w:leftChars="0" w:right="287"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缴纳社会</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2"/>
                <w:kern w:val="0"/>
                <w:sz w:val="23"/>
                <w:szCs w:val="23"/>
                <w:lang w:val="en-US" w:eastAsia="en-US" w:bidi="ar-SA"/>
              </w:rPr>
              <w:t>保险单位</w:t>
            </w:r>
          </w:p>
        </w:tc>
      </w:tr>
      <w:tr w14:paraId="721B6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24" w:type="dxa"/>
            <w:vAlign w:val="top"/>
          </w:tcPr>
          <w:p w14:paraId="23E36983">
            <w:pPr>
              <w:widowControl/>
              <w:kinsoku w:val="0"/>
              <w:autoSpaceDE w:val="0"/>
              <w:autoSpaceDN w:val="0"/>
              <w:adjustRightInd w:val="0"/>
              <w:snapToGrid w:val="0"/>
              <w:spacing w:line="333" w:lineRule="auto"/>
              <w:ind w:firstLine="0" w:firstLineChars="0"/>
              <w:jc w:val="left"/>
              <w:textAlignment w:val="baseline"/>
              <w:rPr>
                <w:rFonts w:ascii="Arial" w:hAnsi="Arial" w:eastAsia="Arial" w:cs="Arial"/>
                <w:snapToGrid w:val="0"/>
                <w:color w:val="000000"/>
                <w:kern w:val="0"/>
                <w:sz w:val="21"/>
                <w:szCs w:val="21"/>
                <w:lang w:eastAsia="en-US"/>
              </w:rPr>
            </w:pPr>
          </w:p>
          <w:p w14:paraId="2EAC4025">
            <w:pPr>
              <w:kinsoku w:val="0"/>
              <w:autoSpaceDE w:val="0"/>
              <w:autoSpaceDN w:val="0"/>
              <w:adjustRightInd w:val="0"/>
              <w:snapToGrid w:val="0"/>
              <w:spacing w:before="75" w:line="184"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1</w:t>
            </w:r>
          </w:p>
        </w:tc>
        <w:tc>
          <w:tcPr>
            <w:tcW w:w="2267" w:type="dxa"/>
            <w:gridSpan w:val="2"/>
            <w:vAlign w:val="top"/>
          </w:tcPr>
          <w:p w14:paraId="0906200E">
            <w:pPr>
              <w:kinsoku w:val="0"/>
              <w:autoSpaceDE w:val="0"/>
              <w:autoSpaceDN w:val="0"/>
              <w:adjustRightInd w:val="0"/>
              <w:snapToGrid w:val="0"/>
              <w:spacing w:before="211" w:line="280" w:lineRule="auto"/>
              <w:ind w:left="0" w:leftChars="0" w:right="30" w:firstLine="0" w:firstLineChars="0"/>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法定代表人/单位负责</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人/主要经营负责人</w:t>
            </w:r>
          </w:p>
        </w:tc>
        <w:tc>
          <w:tcPr>
            <w:tcW w:w="929" w:type="dxa"/>
            <w:vAlign w:val="top"/>
          </w:tcPr>
          <w:p w14:paraId="0F9924F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2B04257F">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8" w:type="dxa"/>
            <w:vAlign w:val="top"/>
          </w:tcPr>
          <w:p w14:paraId="7C7899A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9" w:type="dxa"/>
            <w:vAlign w:val="top"/>
          </w:tcPr>
          <w:p w14:paraId="7E0A2518">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3920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24" w:type="dxa"/>
            <w:vAlign w:val="top"/>
          </w:tcPr>
          <w:p w14:paraId="63B33312">
            <w:pPr>
              <w:kinsoku w:val="0"/>
              <w:autoSpaceDE w:val="0"/>
              <w:autoSpaceDN w:val="0"/>
              <w:adjustRightInd w:val="0"/>
              <w:snapToGrid w:val="0"/>
              <w:spacing w:before="142" w:line="183"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2</w:t>
            </w:r>
          </w:p>
        </w:tc>
        <w:tc>
          <w:tcPr>
            <w:tcW w:w="2267" w:type="dxa"/>
            <w:gridSpan w:val="2"/>
            <w:vAlign w:val="top"/>
          </w:tcPr>
          <w:p w14:paraId="27BD3ECD">
            <w:pPr>
              <w:kinsoku w:val="0"/>
              <w:autoSpaceDE w:val="0"/>
              <w:autoSpaceDN w:val="0"/>
              <w:adjustRightInd w:val="0"/>
              <w:snapToGrid w:val="0"/>
              <w:spacing w:before="83" w:line="219" w:lineRule="auto"/>
              <w:ind w:left="0" w:leftChars="0" w:firstLine="0" w:firstLineChars="0"/>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项目响应授权代表人</w:t>
            </w:r>
          </w:p>
        </w:tc>
        <w:tc>
          <w:tcPr>
            <w:tcW w:w="929" w:type="dxa"/>
            <w:vAlign w:val="top"/>
          </w:tcPr>
          <w:p w14:paraId="5B5ACA9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7470C709">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8" w:type="dxa"/>
            <w:vAlign w:val="top"/>
          </w:tcPr>
          <w:p w14:paraId="2C25CEAF">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9" w:type="dxa"/>
            <w:vAlign w:val="top"/>
          </w:tcPr>
          <w:p w14:paraId="443057E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5EA4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24" w:type="dxa"/>
            <w:vAlign w:val="top"/>
          </w:tcPr>
          <w:p w14:paraId="116A1D49">
            <w:pPr>
              <w:kinsoku w:val="0"/>
              <w:autoSpaceDE w:val="0"/>
              <w:autoSpaceDN w:val="0"/>
              <w:adjustRightInd w:val="0"/>
              <w:snapToGrid w:val="0"/>
              <w:spacing w:before="133" w:line="182"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3</w:t>
            </w:r>
          </w:p>
        </w:tc>
        <w:tc>
          <w:tcPr>
            <w:tcW w:w="2267" w:type="dxa"/>
            <w:gridSpan w:val="2"/>
            <w:vAlign w:val="top"/>
          </w:tcPr>
          <w:p w14:paraId="62FA6B17">
            <w:pPr>
              <w:kinsoku w:val="0"/>
              <w:autoSpaceDE w:val="0"/>
              <w:autoSpaceDN w:val="0"/>
              <w:adjustRightInd w:val="0"/>
              <w:snapToGrid w:val="0"/>
              <w:spacing w:before="73" w:line="219" w:lineRule="auto"/>
              <w:ind w:left="0" w:leftChars="0" w:firstLine="0" w:firstLineChars="0"/>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项目负责人</w:t>
            </w:r>
          </w:p>
        </w:tc>
        <w:tc>
          <w:tcPr>
            <w:tcW w:w="929" w:type="dxa"/>
            <w:vAlign w:val="top"/>
          </w:tcPr>
          <w:p w14:paraId="4D292D0E">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6606CF5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8" w:type="dxa"/>
            <w:vAlign w:val="top"/>
          </w:tcPr>
          <w:p w14:paraId="7F7F3A1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9" w:type="dxa"/>
            <w:vAlign w:val="top"/>
          </w:tcPr>
          <w:p w14:paraId="7BFFE705">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7C36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24" w:type="dxa"/>
            <w:vAlign w:val="top"/>
          </w:tcPr>
          <w:p w14:paraId="451D1F99">
            <w:pPr>
              <w:kinsoku w:val="0"/>
              <w:autoSpaceDE w:val="0"/>
              <w:autoSpaceDN w:val="0"/>
              <w:adjustRightInd w:val="0"/>
              <w:snapToGrid w:val="0"/>
              <w:spacing w:before="142" w:line="182"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4</w:t>
            </w:r>
          </w:p>
        </w:tc>
        <w:tc>
          <w:tcPr>
            <w:tcW w:w="2267" w:type="dxa"/>
            <w:gridSpan w:val="2"/>
            <w:vAlign w:val="top"/>
          </w:tcPr>
          <w:p w14:paraId="04DF86A0">
            <w:pPr>
              <w:kinsoku w:val="0"/>
              <w:autoSpaceDE w:val="0"/>
              <w:autoSpaceDN w:val="0"/>
              <w:adjustRightInd w:val="0"/>
              <w:snapToGrid w:val="0"/>
              <w:spacing w:before="83" w:line="219" w:lineRule="auto"/>
              <w:ind w:left="0" w:leftChars="0" w:firstLine="0" w:firstLineChars="0"/>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主要技术人员</w:t>
            </w:r>
          </w:p>
        </w:tc>
        <w:tc>
          <w:tcPr>
            <w:tcW w:w="929" w:type="dxa"/>
            <w:vAlign w:val="top"/>
          </w:tcPr>
          <w:p w14:paraId="19F62BF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570B81D8">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8" w:type="dxa"/>
            <w:vAlign w:val="top"/>
          </w:tcPr>
          <w:p w14:paraId="4B8EABD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9" w:type="dxa"/>
            <w:vAlign w:val="top"/>
          </w:tcPr>
          <w:p w14:paraId="2B64F15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3B031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24" w:type="dxa"/>
            <w:vAlign w:val="top"/>
          </w:tcPr>
          <w:p w14:paraId="1DCB0BEB">
            <w:pPr>
              <w:kinsoku w:val="0"/>
              <w:autoSpaceDE w:val="0"/>
              <w:autoSpaceDN w:val="0"/>
              <w:adjustRightInd w:val="0"/>
              <w:snapToGrid w:val="0"/>
              <w:spacing w:before="135" w:line="180"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5</w:t>
            </w:r>
          </w:p>
        </w:tc>
        <w:tc>
          <w:tcPr>
            <w:tcW w:w="2267" w:type="dxa"/>
            <w:gridSpan w:val="2"/>
            <w:vAlign w:val="top"/>
          </w:tcPr>
          <w:p w14:paraId="33DEFF27">
            <w:pPr>
              <w:kinsoku w:val="0"/>
              <w:autoSpaceDE w:val="0"/>
              <w:autoSpaceDN w:val="0"/>
              <w:adjustRightInd w:val="0"/>
              <w:snapToGrid w:val="0"/>
              <w:spacing w:before="74" w:line="219" w:lineRule="auto"/>
              <w:ind w:left="0" w:leftChars="0" w:firstLine="0" w:firstLineChars="0"/>
              <w:jc w:val="both"/>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响应文件编制人员</w:t>
            </w:r>
          </w:p>
        </w:tc>
        <w:tc>
          <w:tcPr>
            <w:tcW w:w="929" w:type="dxa"/>
            <w:vAlign w:val="top"/>
          </w:tcPr>
          <w:p w14:paraId="2B812D22">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988" w:type="dxa"/>
            <w:gridSpan w:val="2"/>
            <w:vAlign w:val="top"/>
          </w:tcPr>
          <w:p w14:paraId="525E6968">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8" w:type="dxa"/>
            <w:vAlign w:val="top"/>
          </w:tcPr>
          <w:p w14:paraId="32FA8AC4">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1489" w:type="dxa"/>
            <w:vAlign w:val="top"/>
          </w:tcPr>
          <w:p w14:paraId="2F1864B3">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r>
      <w:tr w14:paraId="346B7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85" w:type="dxa"/>
            <w:gridSpan w:val="8"/>
            <w:vAlign w:val="top"/>
          </w:tcPr>
          <w:p w14:paraId="53531F8E">
            <w:pPr>
              <w:kinsoku w:val="0"/>
              <w:autoSpaceDE w:val="0"/>
              <w:autoSpaceDN w:val="0"/>
              <w:adjustRightInd w:val="0"/>
              <w:snapToGrid w:val="0"/>
              <w:spacing w:before="77" w:line="216" w:lineRule="auto"/>
              <w:ind w:left="7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3"/>
                <w:kern w:val="0"/>
                <w:sz w:val="23"/>
                <w:szCs w:val="23"/>
                <w:lang w:val="en-US" w:eastAsia="en-US" w:bidi="ar-SA"/>
              </w:rPr>
              <w:t>说明：同一职务有多人担任(如主要技术人员),应分行填写。</w:t>
            </w:r>
          </w:p>
        </w:tc>
      </w:tr>
      <w:tr w14:paraId="44E2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885" w:type="dxa"/>
            <w:gridSpan w:val="8"/>
            <w:vAlign w:val="top"/>
          </w:tcPr>
          <w:p w14:paraId="7073E077">
            <w:pPr>
              <w:kinsoku w:val="0"/>
              <w:autoSpaceDE w:val="0"/>
              <w:autoSpaceDN w:val="0"/>
              <w:adjustRightInd w:val="0"/>
              <w:snapToGrid w:val="0"/>
              <w:spacing w:before="159" w:line="219" w:lineRule="auto"/>
              <w:ind w:left="326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3"/>
                <w:kern w:val="0"/>
                <w:sz w:val="23"/>
                <w:szCs w:val="23"/>
                <w:lang w:val="en-US" w:eastAsia="en-US" w:bidi="ar-SA"/>
              </w:rPr>
              <w:t>响应供应商关联关系情况</w:t>
            </w:r>
          </w:p>
        </w:tc>
      </w:tr>
      <w:tr w14:paraId="0217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24" w:type="dxa"/>
            <w:vAlign w:val="top"/>
          </w:tcPr>
          <w:p w14:paraId="128C3896">
            <w:pPr>
              <w:kinsoku w:val="0"/>
              <w:autoSpaceDE w:val="0"/>
              <w:autoSpaceDN w:val="0"/>
              <w:adjustRightInd w:val="0"/>
              <w:snapToGrid w:val="0"/>
              <w:spacing w:before="73" w:line="221"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5"/>
                <w:kern w:val="0"/>
                <w:sz w:val="23"/>
                <w:szCs w:val="23"/>
                <w:lang w:val="en-US" w:eastAsia="en-US" w:bidi="ar-SA"/>
              </w:rPr>
              <w:t>序号</w:t>
            </w:r>
          </w:p>
        </w:tc>
        <w:tc>
          <w:tcPr>
            <w:tcW w:w="2267" w:type="dxa"/>
            <w:gridSpan w:val="2"/>
            <w:vAlign w:val="top"/>
          </w:tcPr>
          <w:p w14:paraId="3387BEAE">
            <w:pPr>
              <w:kinsoku w:val="0"/>
              <w:autoSpaceDE w:val="0"/>
              <w:autoSpaceDN w:val="0"/>
              <w:adjustRightInd w:val="0"/>
              <w:snapToGrid w:val="0"/>
              <w:spacing w:before="75"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关联关系类型</w:t>
            </w:r>
          </w:p>
        </w:tc>
        <w:tc>
          <w:tcPr>
            <w:tcW w:w="1728" w:type="dxa"/>
            <w:gridSpan w:val="2"/>
            <w:vAlign w:val="top"/>
          </w:tcPr>
          <w:p w14:paraId="4C52E6F9">
            <w:pPr>
              <w:kinsoku w:val="0"/>
              <w:autoSpaceDE w:val="0"/>
              <w:autoSpaceDN w:val="0"/>
              <w:adjustRightInd w:val="0"/>
              <w:snapToGrid w:val="0"/>
              <w:spacing w:before="76" w:line="220"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关联主体名称</w:t>
            </w:r>
          </w:p>
        </w:tc>
        <w:tc>
          <w:tcPr>
            <w:tcW w:w="4166" w:type="dxa"/>
            <w:gridSpan w:val="3"/>
            <w:vAlign w:val="top"/>
          </w:tcPr>
          <w:p w14:paraId="39917DB4">
            <w:pPr>
              <w:kinsoku w:val="0"/>
              <w:autoSpaceDE w:val="0"/>
              <w:autoSpaceDN w:val="0"/>
              <w:adjustRightInd w:val="0"/>
              <w:snapToGrid w:val="0"/>
              <w:spacing w:before="76" w:line="221" w:lineRule="auto"/>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备注</w:t>
            </w:r>
          </w:p>
        </w:tc>
      </w:tr>
      <w:tr w14:paraId="4334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724" w:type="dxa"/>
            <w:vAlign w:val="top"/>
          </w:tcPr>
          <w:p w14:paraId="6E960209">
            <w:pPr>
              <w:widowControl/>
              <w:kinsoku w:val="0"/>
              <w:autoSpaceDE w:val="0"/>
              <w:autoSpaceDN w:val="0"/>
              <w:adjustRightInd w:val="0"/>
              <w:snapToGrid w:val="0"/>
              <w:spacing w:line="242" w:lineRule="auto"/>
              <w:ind w:firstLine="0" w:firstLineChars="0"/>
              <w:jc w:val="left"/>
              <w:textAlignment w:val="baseline"/>
              <w:rPr>
                <w:rFonts w:ascii="Arial" w:hAnsi="Arial" w:eastAsia="Arial" w:cs="Arial"/>
                <w:snapToGrid w:val="0"/>
                <w:color w:val="000000"/>
                <w:kern w:val="0"/>
                <w:sz w:val="21"/>
                <w:szCs w:val="21"/>
                <w:lang w:eastAsia="en-US"/>
              </w:rPr>
            </w:pPr>
          </w:p>
          <w:p w14:paraId="5312CBD6">
            <w:pPr>
              <w:widowControl/>
              <w:kinsoku w:val="0"/>
              <w:autoSpaceDE w:val="0"/>
              <w:autoSpaceDN w:val="0"/>
              <w:adjustRightInd w:val="0"/>
              <w:snapToGrid w:val="0"/>
              <w:spacing w:line="242" w:lineRule="auto"/>
              <w:ind w:firstLine="0" w:firstLineChars="0"/>
              <w:jc w:val="left"/>
              <w:textAlignment w:val="baseline"/>
              <w:rPr>
                <w:rFonts w:ascii="Arial" w:hAnsi="Arial" w:eastAsia="Arial" w:cs="Arial"/>
                <w:snapToGrid w:val="0"/>
                <w:color w:val="000000"/>
                <w:kern w:val="0"/>
                <w:sz w:val="21"/>
                <w:szCs w:val="21"/>
                <w:lang w:eastAsia="en-US"/>
              </w:rPr>
            </w:pPr>
          </w:p>
          <w:p w14:paraId="05295851">
            <w:pPr>
              <w:widowControl/>
              <w:kinsoku w:val="0"/>
              <w:autoSpaceDE w:val="0"/>
              <w:autoSpaceDN w:val="0"/>
              <w:adjustRightInd w:val="0"/>
              <w:snapToGrid w:val="0"/>
              <w:spacing w:line="242" w:lineRule="auto"/>
              <w:ind w:firstLine="0" w:firstLineChars="0"/>
              <w:jc w:val="left"/>
              <w:textAlignment w:val="baseline"/>
              <w:rPr>
                <w:rFonts w:ascii="Arial" w:hAnsi="Arial" w:eastAsia="Arial" w:cs="Arial"/>
                <w:snapToGrid w:val="0"/>
                <w:color w:val="000000"/>
                <w:kern w:val="0"/>
                <w:sz w:val="21"/>
                <w:szCs w:val="21"/>
                <w:lang w:eastAsia="en-US"/>
              </w:rPr>
            </w:pPr>
          </w:p>
          <w:p w14:paraId="78078742">
            <w:pPr>
              <w:widowControl/>
              <w:kinsoku w:val="0"/>
              <w:autoSpaceDE w:val="0"/>
              <w:autoSpaceDN w:val="0"/>
              <w:adjustRightInd w:val="0"/>
              <w:snapToGrid w:val="0"/>
              <w:spacing w:line="242" w:lineRule="auto"/>
              <w:ind w:firstLine="0" w:firstLineChars="0"/>
              <w:jc w:val="left"/>
              <w:textAlignment w:val="baseline"/>
              <w:rPr>
                <w:rFonts w:ascii="Arial" w:hAnsi="Arial" w:eastAsia="Arial" w:cs="Arial"/>
                <w:snapToGrid w:val="0"/>
                <w:color w:val="000000"/>
                <w:kern w:val="0"/>
                <w:sz w:val="21"/>
                <w:szCs w:val="21"/>
                <w:lang w:eastAsia="en-US"/>
              </w:rPr>
            </w:pPr>
          </w:p>
          <w:p w14:paraId="54B07938">
            <w:pPr>
              <w:widowControl/>
              <w:kinsoku w:val="0"/>
              <w:autoSpaceDE w:val="0"/>
              <w:autoSpaceDN w:val="0"/>
              <w:adjustRightInd w:val="0"/>
              <w:snapToGrid w:val="0"/>
              <w:spacing w:line="243" w:lineRule="auto"/>
              <w:ind w:firstLine="0" w:firstLineChars="0"/>
              <w:jc w:val="left"/>
              <w:textAlignment w:val="baseline"/>
              <w:rPr>
                <w:rFonts w:ascii="Arial" w:hAnsi="Arial" w:eastAsia="Arial" w:cs="Arial"/>
                <w:snapToGrid w:val="0"/>
                <w:color w:val="000000"/>
                <w:kern w:val="0"/>
                <w:sz w:val="21"/>
                <w:szCs w:val="21"/>
                <w:lang w:eastAsia="en-US"/>
              </w:rPr>
            </w:pPr>
          </w:p>
          <w:p w14:paraId="51D5DEB0">
            <w:pPr>
              <w:kinsoku w:val="0"/>
              <w:autoSpaceDE w:val="0"/>
              <w:autoSpaceDN w:val="0"/>
              <w:adjustRightInd w:val="0"/>
              <w:snapToGrid w:val="0"/>
              <w:spacing w:before="75" w:line="184"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1</w:t>
            </w:r>
          </w:p>
        </w:tc>
        <w:tc>
          <w:tcPr>
            <w:tcW w:w="2267" w:type="dxa"/>
            <w:gridSpan w:val="2"/>
            <w:vAlign w:val="top"/>
          </w:tcPr>
          <w:p w14:paraId="3EE8AC58">
            <w:pPr>
              <w:widowControl/>
              <w:kinsoku w:val="0"/>
              <w:autoSpaceDE w:val="0"/>
              <w:autoSpaceDN w:val="0"/>
              <w:adjustRightInd w:val="0"/>
              <w:snapToGrid w:val="0"/>
              <w:spacing w:line="288" w:lineRule="auto"/>
              <w:ind w:firstLine="0" w:firstLineChars="0"/>
              <w:jc w:val="left"/>
              <w:textAlignment w:val="baseline"/>
              <w:rPr>
                <w:rFonts w:ascii="Arial" w:hAnsi="Arial" w:eastAsia="Arial" w:cs="Arial"/>
                <w:snapToGrid w:val="0"/>
                <w:color w:val="000000"/>
                <w:kern w:val="0"/>
                <w:sz w:val="21"/>
                <w:szCs w:val="21"/>
                <w:lang w:eastAsia="en-US"/>
              </w:rPr>
            </w:pPr>
          </w:p>
          <w:p w14:paraId="33C141F8">
            <w:pPr>
              <w:widowControl/>
              <w:kinsoku w:val="0"/>
              <w:autoSpaceDE w:val="0"/>
              <w:autoSpaceDN w:val="0"/>
              <w:adjustRightInd w:val="0"/>
              <w:snapToGrid w:val="0"/>
              <w:spacing w:line="288" w:lineRule="auto"/>
              <w:ind w:firstLine="0" w:firstLineChars="0"/>
              <w:jc w:val="left"/>
              <w:textAlignment w:val="baseline"/>
              <w:rPr>
                <w:rFonts w:ascii="Arial" w:hAnsi="Arial" w:eastAsia="Arial" w:cs="Arial"/>
                <w:snapToGrid w:val="0"/>
                <w:color w:val="000000"/>
                <w:kern w:val="0"/>
                <w:sz w:val="21"/>
                <w:szCs w:val="21"/>
                <w:lang w:eastAsia="en-US"/>
              </w:rPr>
            </w:pPr>
          </w:p>
          <w:p w14:paraId="3BA39421">
            <w:pPr>
              <w:widowControl/>
              <w:kinsoku w:val="0"/>
              <w:autoSpaceDE w:val="0"/>
              <w:autoSpaceDN w:val="0"/>
              <w:adjustRightInd w:val="0"/>
              <w:snapToGrid w:val="0"/>
              <w:spacing w:line="288" w:lineRule="auto"/>
              <w:ind w:firstLine="0" w:firstLineChars="0"/>
              <w:jc w:val="left"/>
              <w:textAlignment w:val="baseline"/>
              <w:rPr>
                <w:rFonts w:ascii="Arial" w:hAnsi="Arial" w:eastAsia="Arial" w:cs="Arial"/>
                <w:snapToGrid w:val="0"/>
                <w:color w:val="000000"/>
                <w:kern w:val="0"/>
                <w:sz w:val="21"/>
                <w:szCs w:val="21"/>
                <w:lang w:eastAsia="en-US"/>
              </w:rPr>
            </w:pPr>
          </w:p>
          <w:p w14:paraId="47020DD8">
            <w:pPr>
              <w:widowControl/>
              <w:kinsoku w:val="0"/>
              <w:autoSpaceDE w:val="0"/>
              <w:autoSpaceDN w:val="0"/>
              <w:adjustRightInd w:val="0"/>
              <w:snapToGrid w:val="0"/>
              <w:spacing w:line="289" w:lineRule="auto"/>
              <w:ind w:firstLine="0" w:firstLineChars="0"/>
              <w:jc w:val="left"/>
              <w:textAlignment w:val="baseline"/>
              <w:rPr>
                <w:rFonts w:ascii="Arial" w:hAnsi="Arial" w:eastAsia="Arial" w:cs="Arial"/>
                <w:snapToGrid w:val="0"/>
                <w:color w:val="000000"/>
                <w:kern w:val="0"/>
                <w:sz w:val="21"/>
                <w:szCs w:val="21"/>
                <w:lang w:eastAsia="en-US"/>
              </w:rPr>
            </w:pPr>
          </w:p>
          <w:p w14:paraId="38C13655">
            <w:pPr>
              <w:kinsoku w:val="0"/>
              <w:autoSpaceDE w:val="0"/>
              <w:autoSpaceDN w:val="0"/>
              <w:adjustRightInd w:val="0"/>
              <w:snapToGrid w:val="0"/>
              <w:spacing w:before="75"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控股股东</w:t>
            </w:r>
          </w:p>
        </w:tc>
        <w:tc>
          <w:tcPr>
            <w:tcW w:w="1728" w:type="dxa"/>
            <w:gridSpan w:val="2"/>
            <w:vAlign w:val="top"/>
          </w:tcPr>
          <w:p w14:paraId="41C562C7">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4166" w:type="dxa"/>
            <w:gridSpan w:val="3"/>
            <w:vAlign w:val="top"/>
          </w:tcPr>
          <w:p w14:paraId="20CCCB61">
            <w:pPr>
              <w:kinsoku w:val="0"/>
              <w:autoSpaceDE w:val="0"/>
              <w:autoSpaceDN w:val="0"/>
              <w:adjustRightInd w:val="0"/>
              <w:snapToGrid w:val="0"/>
              <w:spacing w:before="103"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指出资额(或持有股份)占响应供应商资本总额(或股本总额)50%以上的股东，以及出资额(或持有股份)的比例虽然不足50%,但依其出资额(或持有股份)所</w:t>
            </w:r>
            <w:r>
              <w:rPr>
                <w:rFonts w:ascii="宋体" w:hAnsi="宋体" w:eastAsia="宋体" w:cs="宋体"/>
                <w:snapToGrid w:val="0"/>
                <w:color w:val="000000"/>
                <w:spacing w:val="-1"/>
                <w:kern w:val="0"/>
                <w:sz w:val="23"/>
                <w:szCs w:val="23"/>
                <w:lang w:val="en-US" w:eastAsia="en-US" w:bidi="ar-SA"/>
              </w:rPr>
              <w:t>享有的表决权已足以对投标(响应)供应</w:t>
            </w:r>
            <w:r>
              <w:rPr>
                <w:rFonts w:ascii="宋体" w:hAnsi="宋体" w:eastAsia="宋体" w:cs="宋体"/>
                <w:snapToGrid w:val="0"/>
                <w:color w:val="000000"/>
                <w:kern w:val="0"/>
                <w:sz w:val="23"/>
                <w:szCs w:val="23"/>
                <w:lang w:val="en-US" w:eastAsia="en-US" w:bidi="ar-SA"/>
              </w:rPr>
              <w:t>商股东会(或股东大会)的决议产生重要</w:t>
            </w:r>
            <w:r>
              <w:rPr>
                <w:rFonts w:ascii="宋体" w:hAnsi="宋体" w:eastAsia="宋体" w:cs="宋体"/>
                <w:snapToGrid w:val="0"/>
                <w:color w:val="000000"/>
                <w:spacing w:val="-1"/>
                <w:kern w:val="0"/>
                <w:sz w:val="23"/>
                <w:szCs w:val="23"/>
                <w:lang w:val="en-US" w:eastAsia="en-US" w:bidi="ar-SA"/>
              </w:rPr>
              <w:t>影响的股东。</w:t>
            </w:r>
          </w:p>
        </w:tc>
      </w:tr>
      <w:tr w14:paraId="3F8E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724" w:type="dxa"/>
            <w:vAlign w:val="top"/>
          </w:tcPr>
          <w:p w14:paraId="7C5E027A">
            <w:pPr>
              <w:widowControl/>
              <w:kinsoku w:val="0"/>
              <w:autoSpaceDE w:val="0"/>
              <w:autoSpaceDN w:val="0"/>
              <w:adjustRightInd w:val="0"/>
              <w:snapToGrid w:val="0"/>
              <w:spacing w:line="261" w:lineRule="auto"/>
              <w:ind w:firstLine="0" w:firstLineChars="0"/>
              <w:jc w:val="left"/>
              <w:textAlignment w:val="baseline"/>
              <w:rPr>
                <w:rFonts w:ascii="Arial" w:hAnsi="Arial" w:eastAsia="Arial" w:cs="Arial"/>
                <w:snapToGrid w:val="0"/>
                <w:color w:val="000000"/>
                <w:kern w:val="0"/>
                <w:sz w:val="21"/>
                <w:szCs w:val="21"/>
                <w:lang w:eastAsia="en-US"/>
              </w:rPr>
            </w:pPr>
          </w:p>
          <w:p w14:paraId="023B2346">
            <w:pPr>
              <w:kinsoku w:val="0"/>
              <w:autoSpaceDE w:val="0"/>
              <w:autoSpaceDN w:val="0"/>
              <w:adjustRightInd w:val="0"/>
              <w:snapToGrid w:val="0"/>
              <w:spacing w:before="75" w:line="183" w:lineRule="auto"/>
              <w:ind w:left="29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2</w:t>
            </w:r>
          </w:p>
        </w:tc>
        <w:tc>
          <w:tcPr>
            <w:tcW w:w="2267" w:type="dxa"/>
            <w:gridSpan w:val="2"/>
            <w:vAlign w:val="top"/>
          </w:tcPr>
          <w:p w14:paraId="7179246B">
            <w:pPr>
              <w:kinsoku w:val="0"/>
              <w:autoSpaceDE w:val="0"/>
              <w:autoSpaceDN w:val="0"/>
              <w:adjustRightInd w:val="0"/>
              <w:snapToGrid w:val="0"/>
              <w:spacing w:before="278" w:line="219"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5"/>
                <w:kern w:val="0"/>
                <w:sz w:val="23"/>
                <w:szCs w:val="23"/>
                <w:lang w:val="en-US" w:eastAsia="en-US" w:bidi="ar-SA"/>
              </w:rPr>
              <w:t>管理关系</w:t>
            </w:r>
          </w:p>
        </w:tc>
        <w:tc>
          <w:tcPr>
            <w:tcW w:w="1728" w:type="dxa"/>
            <w:gridSpan w:val="2"/>
            <w:vAlign w:val="top"/>
          </w:tcPr>
          <w:p w14:paraId="1AED3CAD">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000000"/>
                <w:kern w:val="0"/>
                <w:sz w:val="21"/>
                <w:szCs w:val="21"/>
                <w:lang w:eastAsia="en-US"/>
              </w:rPr>
            </w:pPr>
          </w:p>
        </w:tc>
        <w:tc>
          <w:tcPr>
            <w:tcW w:w="4166" w:type="dxa"/>
            <w:gridSpan w:val="3"/>
            <w:vAlign w:val="top"/>
          </w:tcPr>
          <w:p w14:paraId="5A444C41">
            <w:pPr>
              <w:kinsoku w:val="0"/>
              <w:autoSpaceDE w:val="0"/>
              <w:autoSpaceDN w:val="0"/>
              <w:adjustRightInd w:val="0"/>
              <w:snapToGrid w:val="0"/>
              <w:spacing w:before="118" w:line="253" w:lineRule="auto"/>
              <w:ind w:left="0" w:leftChars="0" w:firstLine="0" w:firstLineChars="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指对响应供应商不具有出资持股关系，但</w:t>
            </w:r>
            <w:r>
              <w:rPr>
                <w:rFonts w:ascii="宋体" w:hAnsi="宋体" w:eastAsia="宋体" w:cs="宋体"/>
                <w:snapToGrid w:val="0"/>
                <w:color w:val="000000"/>
                <w:spacing w:val="16"/>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对其存在管理关系的主体。</w:t>
            </w:r>
          </w:p>
        </w:tc>
      </w:tr>
      <w:tr w14:paraId="666C6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885" w:type="dxa"/>
            <w:gridSpan w:val="8"/>
            <w:vAlign w:val="top"/>
          </w:tcPr>
          <w:p w14:paraId="6A8A04BC">
            <w:pPr>
              <w:kinsoku w:val="0"/>
              <w:autoSpaceDE w:val="0"/>
              <w:autoSpaceDN w:val="0"/>
              <w:adjustRightInd w:val="0"/>
              <w:snapToGrid w:val="0"/>
              <w:spacing w:before="86" w:line="219" w:lineRule="auto"/>
              <w:ind w:left="78"/>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3"/>
                <w:kern w:val="0"/>
                <w:sz w:val="23"/>
                <w:szCs w:val="23"/>
                <w:lang w:val="en-US" w:eastAsia="en-US" w:bidi="ar-SA"/>
              </w:rPr>
              <w:t>说明：同一关联关系类型有多个主体的，应分行填写。</w:t>
            </w:r>
          </w:p>
        </w:tc>
      </w:tr>
    </w:tbl>
    <w:p w14:paraId="7E328445">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2010609060101010101"/>
    <w:charset w:val="86"/>
    <w:family w:val="modern"/>
    <w:pitch w:val="default"/>
    <w:sig w:usb0="00000000" w:usb1="00000000" w:usb2="000A005E"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B801">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04587">
                          <w:pPr>
                            <w:pStyle w:val="5"/>
                            <w:ind w:firstLine="360"/>
                          </w:pPr>
                          <w:r>
                            <w:fldChar w:fldCharType="begin"/>
                          </w:r>
                          <w:r>
                            <w:instrText xml:space="preserve"> PAGE  \* MERGEFORMAT </w:instrText>
                          </w:r>
                          <w:r>
                            <w:fldChar w:fldCharType="separate"/>
                          </w:r>
                          <w:r>
                            <w:t>28</w:t>
                          </w:r>
                          <w:r>
                            <w:fldChar w:fldCharType="end"/>
                          </w:r>
                          <w:r>
                            <w:t xml:space="preserve"> / </w:t>
                          </w:r>
                          <w:r>
                            <w:fldChar w:fldCharType="begin"/>
                          </w:r>
                          <w:r>
                            <w:instrText xml:space="preserve"> NUMPAGES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5D04587">
                    <w:pPr>
                      <w:pStyle w:val="5"/>
                      <w:ind w:firstLine="360"/>
                    </w:pPr>
                    <w:r>
                      <w:fldChar w:fldCharType="begin"/>
                    </w:r>
                    <w:r>
                      <w:instrText xml:space="preserve"> PAGE  \* MERGEFORMAT </w:instrText>
                    </w:r>
                    <w:r>
                      <w:fldChar w:fldCharType="separate"/>
                    </w:r>
                    <w:r>
                      <w:t>28</w:t>
                    </w:r>
                    <w:r>
                      <w:fldChar w:fldCharType="end"/>
                    </w:r>
                    <w:r>
                      <w:t xml:space="preserve"> / </w:t>
                    </w:r>
                    <w:r>
                      <w:fldChar w:fldCharType="begin"/>
                    </w:r>
                    <w:r>
                      <w:instrText xml:space="preserve"> NUMPAGES  \* MERGEFORMAT </w:instrText>
                    </w:r>
                    <w:r>
                      <w:fldChar w:fldCharType="separate"/>
                    </w:r>
                    <w:r>
                      <w:t>38</w:t>
                    </w:r>
                    <w:r>
                      <w:fldChar w:fldCharType="end"/>
                    </w:r>
                  </w:p>
                </w:txbxContent>
              </v:textbox>
            </v:shape>
          </w:pict>
        </mc:Fallback>
      </mc:AlternateContent>
    </w:r>
  </w:p>
  <w:p w14:paraId="2D220091">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1FD7">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452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C5D0">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D58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7AE21">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iMTUzNTRjMTg3ZDk3OWZlMmQ2ZTNlYTNkODk4NWMifQ=="/>
  </w:docVars>
  <w:rsids>
    <w:rsidRoot w:val="003317D4"/>
    <w:rsid w:val="00015A87"/>
    <w:rsid w:val="00070ACF"/>
    <w:rsid w:val="000C3D95"/>
    <w:rsid w:val="000D1327"/>
    <w:rsid w:val="001A7AD7"/>
    <w:rsid w:val="00221E4A"/>
    <w:rsid w:val="00272560"/>
    <w:rsid w:val="002C2742"/>
    <w:rsid w:val="002E5302"/>
    <w:rsid w:val="002F6473"/>
    <w:rsid w:val="0031495A"/>
    <w:rsid w:val="003317D4"/>
    <w:rsid w:val="003B4BF6"/>
    <w:rsid w:val="003B5611"/>
    <w:rsid w:val="00466F8F"/>
    <w:rsid w:val="00474486"/>
    <w:rsid w:val="005544F7"/>
    <w:rsid w:val="005E4069"/>
    <w:rsid w:val="0061200A"/>
    <w:rsid w:val="00624FC9"/>
    <w:rsid w:val="0072046D"/>
    <w:rsid w:val="007441C4"/>
    <w:rsid w:val="007C1114"/>
    <w:rsid w:val="00837847"/>
    <w:rsid w:val="00844A17"/>
    <w:rsid w:val="00861F2D"/>
    <w:rsid w:val="008748E6"/>
    <w:rsid w:val="008D52DE"/>
    <w:rsid w:val="008D6D09"/>
    <w:rsid w:val="009144FC"/>
    <w:rsid w:val="00AF2ED2"/>
    <w:rsid w:val="00B32221"/>
    <w:rsid w:val="00BF03F0"/>
    <w:rsid w:val="00CA3A09"/>
    <w:rsid w:val="00D51E91"/>
    <w:rsid w:val="00D54100"/>
    <w:rsid w:val="00D61E0F"/>
    <w:rsid w:val="00E16DA0"/>
    <w:rsid w:val="00EA7496"/>
    <w:rsid w:val="00FF1770"/>
    <w:rsid w:val="04CF64D2"/>
    <w:rsid w:val="06133B58"/>
    <w:rsid w:val="063D7474"/>
    <w:rsid w:val="06807AEB"/>
    <w:rsid w:val="18112A13"/>
    <w:rsid w:val="187C3C81"/>
    <w:rsid w:val="1BA755D5"/>
    <w:rsid w:val="20AE3DC0"/>
    <w:rsid w:val="27863D60"/>
    <w:rsid w:val="2B4C38C6"/>
    <w:rsid w:val="3170242A"/>
    <w:rsid w:val="349813D0"/>
    <w:rsid w:val="3B5C729C"/>
    <w:rsid w:val="5BC13A6B"/>
    <w:rsid w:val="6480389B"/>
    <w:rsid w:val="7E00125A"/>
    <w:rsid w:val="7E86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56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15"/>
    <w:autoRedefine/>
    <w:qFormat/>
    <w:uiPriority w:val="9"/>
    <w:pPr>
      <w:keepNext/>
      <w:keepLines/>
      <w:jc w:val="center"/>
      <w:outlineLvl w:val="0"/>
    </w:pPr>
    <w:rPr>
      <w:rFonts w:ascii="方正小标宋简体" w:hAnsi="仿宋" w:eastAsia="方正小标宋简体"/>
      <w:color w:val="000000" w:themeColor="text1"/>
      <w:kern w:val="44"/>
      <w:sz w:val="36"/>
      <w:szCs w:val="44"/>
      <w14:textFill>
        <w14:solidFill>
          <w14:schemeClr w14:val="tx1"/>
        </w14:solidFill>
      </w14:textFill>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6"/>
    <w:autoRedefine/>
    <w:qFormat/>
    <w:uiPriority w:val="0"/>
    <w:pPr>
      <w:widowControl/>
      <w:spacing w:line="360" w:lineRule="auto"/>
      <w:ind w:firstLine="200"/>
    </w:pPr>
    <w:rPr>
      <w:rFonts w:eastAsiaTheme="minorEastAsia"/>
      <w:sz w:val="21"/>
      <w:szCs w:val="24"/>
    </w:rPr>
  </w:style>
  <w:style w:type="paragraph" w:styleId="4">
    <w:name w:val="toc 3"/>
    <w:basedOn w:val="1"/>
    <w:next w:val="1"/>
    <w:autoRedefine/>
    <w:unhideWhenUsed/>
    <w:qFormat/>
    <w:uiPriority w:val="39"/>
    <w:pPr>
      <w:widowControl/>
      <w:spacing w:after="100" w:line="259" w:lineRule="auto"/>
      <w:ind w:left="440" w:firstLine="0" w:firstLineChars="0"/>
      <w:jc w:val="left"/>
    </w:pPr>
    <w:rPr>
      <w:rFonts w:cs="Times New Roman" w:eastAsiaTheme="minorEastAsia"/>
      <w:kern w:val="0"/>
      <w:sz w:val="22"/>
    </w:rPr>
  </w:style>
  <w:style w:type="paragraph" w:styleId="5">
    <w:name w:val="footer"/>
    <w:basedOn w:val="1"/>
    <w:link w:val="14"/>
    <w:autoRedefine/>
    <w:unhideWhenUsed/>
    <w:qFormat/>
    <w:uiPriority w:val="0"/>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eastAsiaTheme="minorEastAsia"/>
      <w:kern w:val="0"/>
      <w:sz w:val="22"/>
    </w:rPr>
  </w:style>
  <w:style w:type="paragraph" w:styleId="8">
    <w:name w:val="toc 2"/>
    <w:basedOn w:val="1"/>
    <w:next w:val="1"/>
    <w:autoRedefine/>
    <w:unhideWhenUsed/>
    <w:qFormat/>
    <w:uiPriority w:val="39"/>
    <w:pPr>
      <w:widowControl/>
      <w:spacing w:after="100" w:line="259" w:lineRule="auto"/>
      <w:ind w:left="220" w:firstLine="0" w:firstLineChars="0"/>
      <w:jc w:val="left"/>
    </w:pPr>
    <w:rPr>
      <w:rFonts w:cs="Times New Roman" w:eastAsiaTheme="minorEastAsia"/>
      <w:kern w:val="0"/>
      <w:sz w:val="22"/>
    </w:rPr>
  </w:style>
  <w:style w:type="table" w:styleId="10">
    <w:name w:val="Table Grid"/>
    <w:basedOn w:val="9"/>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99"/>
    <w:rPr>
      <w:color w:val="0000FF"/>
      <w:u w:val="single"/>
    </w:rPr>
  </w:style>
  <w:style w:type="character" w:customStyle="1" w:styleId="13">
    <w:name w:val="页眉 字符"/>
    <w:basedOn w:val="11"/>
    <w:link w:val="6"/>
    <w:autoRedefine/>
    <w:qFormat/>
    <w:uiPriority w:val="99"/>
    <w:rPr>
      <w:sz w:val="18"/>
      <w:szCs w:val="18"/>
    </w:rPr>
  </w:style>
  <w:style w:type="character" w:customStyle="1" w:styleId="14">
    <w:name w:val="页脚 字符"/>
    <w:basedOn w:val="11"/>
    <w:link w:val="5"/>
    <w:autoRedefine/>
    <w:qFormat/>
    <w:uiPriority w:val="0"/>
    <w:rPr>
      <w:sz w:val="18"/>
      <w:szCs w:val="18"/>
    </w:rPr>
  </w:style>
  <w:style w:type="character" w:customStyle="1" w:styleId="15">
    <w:name w:val="标题 1 字符"/>
    <w:basedOn w:val="11"/>
    <w:link w:val="2"/>
    <w:qFormat/>
    <w:uiPriority w:val="9"/>
    <w:rPr>
      <w:rFonts w:ascii="方正小标宋简体" w:hAnsi="仿宋" w:eastAsia="方正小标宋简体"/>
      <w:color w:val="000000" w:themeColor="text1"/>
      <w:kern w:val="44"/>
      <w:sz w:val="36"/>
      <w:szCs w:val="44"/>
      <w14:textFill>
        <w14:solidFill>
          <w14:schemeClr w14:val="tx1"/>
        </w14:solidFill>
      </w14:textFill>
    </w:rPr>
  </w:style>
  <w:style w:type="character" w:customStyle="1" w:styleId="16">
    <w:name w:val="正文缩进 字符"/>
    <w:link w:val="3"/>
    <w:autoRedefine/>
    <w:qFormat/>
    <w:uiPriority w:val="0"/>
    <w:rPr>
      <w:szCs w:val="24"/>
    </w:rPr>
  </w:style>
  <w:style w:type="paragraph" w:styleId="17">
    <w:name w:val="List Paragraph"/>
    <w:basedOn w:val="1"/>
    <w:autoRedefine/>
    <w:qFormat/>
    <w:uiPriority w:val="99"/>
    <w:pPr>
      <w:ind w:firstLine="420"/>
    </w:pPr>
  </w:style>
  <w:style w:type="paragraph" w:customStyle="1" w:styleId="18">
    <w:name w:val="Other|1"/>
    <w:basedOn w:val="1"/>
    <w:autoRedefine/>
    <w:qFormat/>
    <w:uiPriority w:val="0"/>
    <w:pPr>
      <w:spacing w:line="338" w:lineRule="exact"/>
      <w:ind w:firstLine="0" w:firstLineChars="0"/>
    </w:pPr>
    <w:rPr>
      <w:rFonts w:ascii="宋体" w:hAnsi="宋体" w:cs="宋体"/>
      <w:sz w:val="22"/>
      <w:lang w:val="zh-TW" w:eastAsia="zh-TW" w:bidi="zh-TW"/>
    </w:rPr>
  </w:style>
  <w:style w:type="paragraph" w:customStyle="1" w:styleId="19">
    <w:name w:val="TOC Heading"/>
    <w:basedOn w:val="2"/>
    <w:next w:val="1"/>
    <w:autoRedefine/>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color w:val="2F5597" w:themeColor="accent1" w:themeShade="BF"/>
      <w:kern w:val="0"/>
      <w:sz w:val="32"/>
      <w:szCs w:val="32"/>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9632</Words>
  <Characters>10744</Characters>
  <Lines>38</Lines>
  <Paragraphs>10</Paragraphs>
  <TotalTime>47</TotalTime>
  <ScaleCrop>false</ScaleCrop>
  <LinksUpToDate>false</LinksUpToDate>
  <CharactersWithSpaces>11469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2024-03-15T02:11:00Z</dcterms:created>
  <dc:creator>Lee Bfen</dc:creator>
  <cp:lastModifiedBy>龙华书城办公</cp:lastModifiedBy>
  <dcterms:modified xsi:type="dcterms:W3CDTF">2025-08-28T07:45:01Z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876D5342633B41E6849278E94E00EE87_12</vt:lpwstr>
  </property>
  <property fmtid="{D5CDD505-2E9C-101B-9397-08002B2CF9AE}" pid="4" name="KSOTemplateDocerSaveRecord">
    <vt:lpwstr>eyJoZGlkIjoiZTVkYjMzMDQ3ZDBhYWYzMDkxMzY5MDA4MDhlZmZiM2EiLCJ1c2VySWQiOiIxNTk0MTc0MzI3In0=</vt:lpwstr>
  </property>
</Properties>
</file>